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576E" w14:textId="350A540C" w:rsidR="00E94119" w:rsidRPr="00717C8E" w:rsidRDefault="008A5103" w:rsidP="00B6387C">
      <w:pPr>
        <w:tabs>
          <w:tab w:val="right" w:pos="10260"/>
        </w:tabs>
        <w:ind w:right="-584"/>
        <w:rPr>
          <w:rStyle w:val="Titre1Car"/>
        </w:rPr>
      </w:pPr>
      <w:r w:rsidRPr="007760C2">
        <w:rPr>
          <w:rFonts w:ascii="Arial" w:hAnsi="Arial" w:cs="Arial"/>
          <w:noProof/>
          <w:lang w:eastAsia="fr-CA"/>
        </w:rPr>
        <w:drawing>
          <wp:inline distT="0" distB="0" distL="0" distR="0" wp14:anchorId="7958F250" wp14:editId="64561AC3">
            <wp:extent cx="1483995" cy="464185"/>
            <wp:effectExtent l="0" t="0" r="1905" b="0"/>
            <wp:docPr id="1" name="Image 1" descr="La Financière agricole du Québ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a Financière agricole du Québec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503">
        <w:rPr>
          <w:rFonts w:ascii="Arial" w:hAnsi="Arial" w:cs="Arial"/>
          <w:b/>
          <w:bCs/>
          <w:smallCaps/>
          <w:sz w:val="22"/>
          <w:szCs w:val="22"/>
        </w:rPr>
        <w:br w:type="column"/>
      </w:r>
      <w:r w:rsidR="00717C8E">
        <w:rPr>
          <w:rFonts w:ascii="Arial" w:hAnsi="Arial" w:cs="Arial"/>
          <w:b/>
          <w:bCs/>
          <w:smallCaps/>
          <w:sz w:val="22"/>
          <w:szCs w:val="22"/>
        </w:rPr>
        <w:br/>
      </w:r>
      <w:r w:rsidR="007760C2" w:rsidRPr="00717C8E">
        <w:rPr>
          <w:rStyle w:val="Titre1Car"/>
        </w:rPr>
        <w:t>r</w:t>
      </w:r>
      <w:r w:rsidR="007760C2" w:rsidRPr="00717C8E">
        <w:rPr>
          <w:rStyle w:val="Titre1Car"/>
          <w:rFonts w:hint="eastAsia"/>
        </w:rPr>
        <w:t>é</w:t>
      </w:r>
      <w:r w:rsidR="007760C2" w:rsidRPr="00717C8E">
        <w:rPr>
          <w:rStyle w:val="Titre1Car"/>
        </w:rPr>
        <w:t>clamation en remboursement d</w:t>
      </w:r>
      <w:r w:rsidR="007760C2" w:rsidRPr="00717C8E">
        <w:rPr>
          <w:rStyle w:val="Titre1Car"/>
          <w:rFonts w:hint="eastAsia"/>
        </w:rPr>
        <w:t>’</w:t>
      </w:r>
      <w:r w:rsidR="007760C2" w:rsidRPr="00717C8E">
        <w:rPr>
          <w:rStyle w:val="Titre1Car"/>
        </w:rPr>
        <w:t>engagements financiers consentis en vertu de lois ou de programmes administr</w:t>
      </w:r>
      <w:r w:rsidR="007760C2" w:rsidRPr="00717C8E">
        <w:rPr>
          <w:rStyle w:val="Titre1Car"/>
          <w:rFonts w:hint="eastAsia"/>
        </w:rPr>
        <w:t>é</w:t>
      </w:r>
      <w:r w:rsidR="007760C2" w:rsidRPr="00717C8E">
        <w:rPr>
          <w:rStyle w:val="Titre1Car"/>
        </w:rPr>
        <w:t>s par La</w:t>
      </w:r>
      <w:r w:rsidR="004643D0" w:rsidRPr="00717C8E">
        <w:rPr>
          <w:rStyle w:val="Titre1Car"/>
        </w:rPr>
        <w:t> </w:t>
      </w:r>
      <w:r w:rsidR="007760C2" w:rsidRPr="00717C8E">
        <w:rPr>
          <w:rStyle w:val="Titre1Car"/>
        </w:rPr>
        <w:t>Financi</w:t>
      </w:r>
      <w:r w:rsidR="007760C2" w:rsidRPr="00717C8E">
        <w:rPr>
          <w:rStyle w:val="Titre1Car"/>
          <w:rFonts w:hint="eastAsia"/>
        </w:rPr>
        <w:t>è</w:t>
      </w:r>
      <w:r w:rsidR="007760C2" w:rsidRPr="00717C8E">
        <w:rPr>
          <w:rStyle w:val="Titre1Car"/>
        </w:rPr>
        <w:t>re agricole du Québec</w:t>
      </w:r>
    </w:p>
    <w:p w14:paraId="365A3C5B" w14:textId="77777777" w:rsidR="00B6387C" w:rsidRDefault="00B6387C" w:rsidP="007760C2"/>
    <w:p w14:paraId="3ECCB9D7" w14:textId="2C9A4BCA" w:rsidR="00B6387C" w:rsidRDefault="00B6387C" w:rsidP="007760C2">
      <w:pPr>
        <w:sectPr w:rsidR="00B6387C" w:rsidSect="00717C8E">
          <w:headerReference w:type="default" r:id="rId7"/>
          <w:footerReference w:type="default" r:id="rId8"/>
          <w:type w:val="continuous"/>
          <w:pgSz w:w="12240" w:h="15840" w:code="1"/>
          <w:pgMar w:top="318" w:right="1008" w:bottom="288" w:left="1008" w:header="426" w:footer="463" w:gutter="0"/>
          <w:cols w:num="2" w:space="584" w:equalWidth="0">
            <w:col w:w="3062" w:space="584"/>
            <w:col w:w="6578"/>
          </w:cols>
          <w:docGrid w:linePitch="360"/>
        </w:sectPr>
      </w:pPr>
    </w:p>
    <w:tbl>
      <w:tblPr>
        <w:tblW w:w="0" w:type="auto"/>
        <w:tblInd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2126"/>
      </w:tblGrid>
      <w:tr w:rsidR="00E94119" w14:paraId="3924684F" w14:textId="77777777" w:rsidTr="007760C2">
        <w:trPr>
          <w:trHeight w:hRule="exact" w:val="605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14:paraId="54E1C3CA" w14:textId="0793EC99" w:rsidR="00E94119" w:rsidRDefault="00E94119" w:rsidP="003D7CA8">
            <w:pPr>
              <w:spacing w:after="120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</w:t>
            </w:r>
            <w:r w:rsidRPr="009D4960">
              <w:rPr>
                <w:rFonts w:ascii="Arial" w:hAnsi="Arial" w:cs="Arial"/>
                <w:sz w:val="16"/>
                <w:vertAlign w:val="superscript"/>
                <w:lang w:val="en-CA"/>
              </w:rPr>
              <w:t>o</w:t>
            </w:r>
            <w:r>
              <w:rPr>
                <w:rFonts w:ascii="Arial" w:hAnsi="Arial" w:cs="Arial"/>
                <w:sz w:val="16"/>
                <w:lang w:val="en-CA"/>
              </w:rPr>
              <w:t xml:space="preserve"> permanent (FADQ)</w:t>
            </w:r>
          </w:p>
          <w:p w14:paraId="74210E6C" w14:textId="77777777" w:rsidR="00E94119" w:rsidRDefault="00481B25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E94119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33309C" w14:textId="77777777" w:rsidR="00E94119" w:rsidRPr="003D7CA8" w:rsidRDefault="00E94119" w:rsidP="003D7CA8">
            <w:pPr>
              <w:spacing w:after="120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</w:rPr>
              <w:t>N</w:t>
            </w:r>
            <w:r w:rsidRPr="009D4960">
              <w:rPr>
                <w:rFonts w:ascii="Arial" w:hAnsi="Arial" w:cs="Arial"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</w:rPr>
              <w:t xml:space="preserve"> d’identification (prêteur)</w:t>
            </w:r>
          </w:p>
          <w:p w14:paraId="2175A414" w14:textId="77777777" w:rsidR="00E94119" w:rsidRDefault="00481B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E9411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E94119" w14:paraId="6DFE10FC" w14:textId="77777777" w:rsidTr="007760C2">
        <w:trPr>
          <w:trHeight w:hRule="exact" w:val="605"/>
        </w:trPr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C27EC2" w14:textId="77777777" w:rsidR="00E94119" w:rsidRDefault="00E94119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4D6826" w14:textId="0DB8AB74" w:rsidR="00E94119" w:rsidRDefault="00E94119" w:rsidP="003D7CA8">
            <w:pPr>
              <w:spacing w:after="120"/>
              <w:rPr>
                <w:rFonts w:ascii="Arial" w:hAnsi="Arial" w:cs="Arial"/>
                <w:sz w:val="16"/>
                <w:lang w:val="en-CA"/>
              </w:rPr>
            </w:pPr>
            <w:r>
              <w:rPr>
                <w:rFonts w:ascii="Arial" w:hAnsi="Arial" w:cs="Arial"/>
                <w:sz w:val="16"/>
                <w:lang w:val="en-CA"/>
              </w:rPr>
              <w:t>N</w:t>
            </w:r>
            <w:r w:rsidRPr="009D4960">
              <w:rPr>
                <w:rFonts w:ascii="Arial" w:hAnsi="Arial" w:cs="Arial"/>
                <w:sz w:val="16"/>
                <w:vertAlign w:val="superscript"/>
                <w:lang w:val="en-CA"/>
              </w:rPr>
              <w:t>o</w:t>
            </w:r>
            <w:r>
              <w:rPr>
                <w:rFonts w:ascii="Arial" w:hAnsi="Arial" w:cs="Arial"/>
                <w:sz w:val="16"/>
                <w:lang w:val="en-CA"/>
              </w:rPr>
              <w:t xml:space="preserve"> </w:t>
            </w:r>
            <w:r w:rsidR="0053672B">
              <w:rPr>
                <w:rFonts w:ascii="Arial" w:hAnsi="Arial" w:cs="Arial"/>
                <w:sz w:val="16"/>
                <w:lang w:val="en-CA"/>
              </w:rPr>
              <w:t xml:space="preserve">du </w:t>
            </w:r>
            <w:r>
              <w:rPr>
                <w:rFonts w:ascii="Arial" w:hAnsi="Arial" w:cs="Arial"/>
                <w:sz w:val="16"/>
                <w:lang w:val="en-CA"/>
              </w:rPr>
              <w:t>prêt (FADQ)</w:t>
            </w:r>
          </w:p>
          <w:p w14:paraId="7FA1671F" w14:textId="77777777" w:rsidR="00E94119" w:rsidRDefault="00481B25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E94119">
              <w:rPr>
                <w:rFonts w:ascii="Arial" w:hAnsi="Arial" w:cs="Arial"/>
                <w:sz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CA"/>
              </w:rPr>
            </w:r>
            <w:r>
              <w:rPr>
                <w:rFonts w:ascii="Arial" w:hAnsi="Arial" w:cs="Arial"/>
                <w:sz w:val="20"/>
                <w:lang w:val="en-CA"/>
              </w:rPr>
              <w:fldChar w:fldCharType="separate"/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 w:rsidR="00E94119">
              <w:rPr>
                <w:rFonts w:ascii="Arial" w:hAnsi="Arial" w:cs="Arial"/>
                <w:noProof/>
                <w:sz w:val="20"/>
                <w:lang w:val="en-CA"/>
              </w:rPr>
              <w:t> </w:t>
            </w:r>
            <w:r>
              <w:rPr>
                <w:rFonts w:ascii="Arial" w:hAnsi="Arial" w:cs="Arial"/>
                <w:sz w:val="20"/>
                <w:lang w:val="en-CA"/>
              </w:rPr>
              <w:fldChar w:fldCharType="end"/>
            </w:r>
            <w:bookmarkEnd w:id="2"/>
          </w:p>
        </w:tc>
      </w:tr>
    </w:tbl>
    <w:p w14:paraId="6432FA5B" w14:textId="5F4F6B4A" w:rsidR="00E94119" w:rsidRDefault="00E94119" w:rsidP="003D7CA8">
      <w:pPr>
        <w:tabs>
          <w:tab w:val="left" w:pos="5400"/>
        </w:tabs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Identification du prêteu</w:t>
      </w:r>
      <w:r w:rsidR="00CB1786">
        <w:rPr>
          <w:rFonts w:ascii="Arial" w:hAnsi="Arial" w:cs="Arial"/>
          <w:b/>
          <w:bCs/>
          <w:sz w:val="20"/>
        </w:rPr>
        <w:t>r</w:t>
      </w:r>
      <w:r>
        <w:rPr>
          <w:b/>
          <w:bCs/>
          <w:sz w:val="22"/>
        </w:rPr>
        <w:tab/>
      </w:r>
      <w:r>
        <w:rPr>
          <w:rFonts w:ascii="Arial" w:hAnsi="Arial" w:cs="Arial"/>
          <w:b/>
          <w:bCs/>
          <w:sz w:val="20"/>
        </w:rPr>
        <w:t>Identification de l’emprunteur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  <w:gridCol w:w="354"/>
        <w:gridCol w:w="4938"/>
      </w:tblGrid>
      <w:tr w:rsidR="00E94119" w14:paraId="2DD4F222" w14:textId="77777777">
        <w:trPr>
          <w:trHeight w:hRule="exact" w:val="432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B6B00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48EBB" w14:textId="77777777" w:rsidR="00E94119" w:rsidRDefault="00E9411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46A76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E94119" w14:paraId="6D9CEE6F" w14:textId="77777777">
        <w:trPr>
          <w:trHeight w:hRule="exact" w:val="432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9BDD8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4E9D9" w14:textId="77777777" w:rsidR="00E94119" w:rsidRDefault="00E9411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C16A1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E94119" w14:paraId="4B829E59" w14:textId="77777777">
        <w:trPr>
          <w:trHeight w:hRule="exact" w:val="432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41142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F168" w14:textId="77777777" w:rsidR="00E94119" w:rsidRDefault="00E9411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81A39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E94119" w14:paraId="36C3B432" w14:textId="77777777">
        <w:trPr>
          <w:trHeight w:hRule="exact" w:val="432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1AB86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22CC" w14:textId="77777777" w:rsidR="00E94119" w:rsidRDefault="00E9411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9D456" w14:textId="77777777" w:rsidR="00E94119" w:rsidRDefault="00481B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E94119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94119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14:paraId="3B6F822B" w14:textId="77777777" w:rsidR="00B50D55" w:rsidRDefault="00B50D55" w:rsidP="003B05CE">
      <w:pPr>
        <w:spacing w:before="240" w:after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Financière agricole du Québec garantit à un prêteur le remboursement d’un engagement financier, y compris un engagement financier bénéficiant du droit à l’assurance prévue par l’article 4 de la Loi sur l’assurance-prêts agricoles et forestiers (R.R.Q., chapitre a-29.1) avant le 1</w:t>
      </w:r>
      <w:r w:rsidRPr="00B50D55">
        <w:rPr>
          <w:rFonts w:ascii="Arial" w:hAnsi="Arial" w:cs="Arial"/>
          <w:sz w:val="18"/>
          <w:vertAlign w:val="superscript"/>
        </w:rPr>
        <w:t>er</w:t>
      </w:r>
      <w:r>
        <w:rPr>
          <w:rFonts w:ascii="Arial" w:hAnsi="Arial" w:cs="Arial"/>
          <w:sz w:val="18"/>
        </w:rPr>
        <w:t xml:space="preserve"> octobre 2011, consenti en vertu des lois et des programmes qu’elle administre.</w:t>
      </w:r>
    </w:p>
    <w:p w14:paraId="49E3B060" w14:textId="270085A3" w:rsidR="00B50D55" w:rsidRDefault="00B50D55" w:rsidP="003B05CE">
      <w:pPr>
        <w:spacing w:after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Cette garantie est régie également par le Programme d’application de la garantie de remboursement d’engagements financiers, </w:t>
      </w:r>
      <w:r w:rsidR="0053672B">
        <w:rPr>
          <w:rFonts w:ascii="Arial" w:hAnsi="Arial" w:cs="Arial"/>
          <w:sz w:val="18"/>
        </w:rPr>
        <w:t xml:space="preserve">appelé </w:t>
      </w:r>
      <w:r>
        <w:rPr>
          <w:rFonts w:ascii="Arial" w:hAnsi="Arial" w:cs="Arial"/>
          <w:sz w:val="18"/>
        </w:rPr>
        <w:t>ci-après le « Programme », adopté par la Financière agricole du Québec le 7 septembre 2012.</w:t>
      </w:r>
    </w:p>
    <w:p w14:paraId="6BC9D8BA" w14:textId="2CE30411" w:rsidR="00E94119" w:rsidRDefault="00E94119" w:rsidP="003B05CE">
      <w:pPr>
        <w:spacing w:after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conséquence, conformément aux dispositions de la Loi sur La Financière agricole du Québec (L.R.Q., C. L-0.1) et du </w:t>
      </w:r>
      <w:r w:rsidR="00B50D55">
        <w:rPr>
          <w:rFonts w:ascii="Arial" w:hAnsi="Arial" w:cs="Arial"/>
          <w:sz w:val="18"/>
        </w:rPr>
        <w:t xml:space="preserve">Programme </w:t>
      </w:r>
      <w:r>
        <w:rPr>
          <w:rFonts w:ascii="Arial" w:hAnsi="Arial" w:cs="Arial"/>
          <w:sz w:val="18"/>
        </w:rPr>
        <w:t xml:space="preserve">d’application de la </w:t>
      </w:r>
      <w:r w:rsidR="00B50D55">
        <w:rPr>
          <w:rFonts w:ascii="Arial" w:hAnsi="Arial" w:cs="Arial"/>
          <w:sz w:val="18"/>
        </w:rPr>
        <w:t>garantie de remboursement d’engagements financiers,</w:t>
      </w:r>
      <w:r>
        <w:rPr>
          <w:rFonts w:ascii="Arial" w:hAnsi="Arial" w:cs="Arial"/>
          <w:sz w:val="18"/>
        </w:rPr>
        <w:t xml:space="preserve"> le soussigné réclame par les présentes le montant de la perte subie par le prêteur susmentionné </w:t>
      </w:r>
      <w:r w:rsidR="00E47A71">
        <w:rPr>
          <w:rFonts w:ascii="Arial" w:hAnsi="Arial" w:cs="Arial"/>
          <w:sz w:val="18"/>
        </w:rPr>
        <w:t>et résultant d’un prêt consenti</w:t>
      </w:r>
      <w:r>
        <w:rPr>
          <w:rFonts w:ascii="Arial" w:hAnsi="Arial" w:cs="Arial"/>
          <w:sz w:val="18"/>
        </w:rPr>
        <w:t xml:space="preserve"> en </w:t>
      </w:r>
      <w:r w:rsidR="000A0C60">
        <w:rPr>
          <w:rFonts w:ascii="Arial" w:hAnsi="Arial" w:cs="Arial"/>
          <w:sz w:val="18"/>
        </w:rPr>
        <w:t>vertu de la Loi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E94119" w14:paraId="5751B228" w14:textId="77777777" w:rsidTr="003B05CE">
        <w:trPr>
          <w:trHeight w:hRule="exact" w:val="360"/>
        </w:trPr>
        <w:tc>
          <w:tcPr>
            <w:tcW w:w="10224" w:type="dxa"/>
            <w:tcBorders>
              <w:bottom w:val="single" w:sz="4" w:space="0" w:color="auto"/>
            </w:tcBorders>
            <w:vAlign w:val="center"/>
          </w:tcPr>
          <w:p w14:paraId="56F38567" w14:textId="77777777" w:rsidR="00E94119" w:rsidRDefault="00481B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="00E94119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E94119" w14:paraId="6EC557D0" w14:textId="77777777" w:rsidTr="003B05CE">
        <w:tc>
          <w:tcPr>
            <w:tcW w:w="10224" w:type="dxa"/>
            <w:tcBorders>
              <w:top w:val="single" w:sz="4" w:space="0" w:color="auto"/>
            </w:tcBorders>
          </w:tcPr>
          <w:p w14:paraId="742C9E64" w14:textId="77777777" w:rsidR="00E94119" w:rsidRDefault="00E9411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(indiquer la loi en vertu de laquelle le prêt a été consenti)</w:t>
            </w:r>
          </w:p>
        </w:tc>
      </w:tr>
    </w:tbl>
    <w:p w14:paraId="1AB02B5E" w14:textId="77777777" w:rsidR="00E94119" w:rsidRDefault="00E94119" w:rsidP="00FB15A4">
      <w:pPr>
        <w:spacing w:before="180" w:after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prêt qui a été obtenu par l’emprunteur ci-dessus nommé et, selon le cas, dont le paiement a été assumé par le débiteur ci</w:t>
      </w:r>
      <w:r w:rsidR="000A0C60">
        <w:rPr>
          <w:rFonts w:ascii="Arial" w:hAnsi="Arial" w:cs="Arial"/>
          <w:sz w:val="18"/>
        </w:rPr>
        <w:noBreakHyphen/>
      </w:r>
      <w:r>
        <w:rPr>
          <w:rFonts w:ascii="Arial" w:hAnsi="Arial" w:cs="Arial"/>
          <w:sz w:val="18"/>
        </w:rPr>
        <w:t>dessus nommé.</w:t>
      </w:r>
    </w:p>
    <w:p w14:paraId="098C93DB" w14:textId="4CCE170B" w:rsidR="00E94119" w:rsidRDefault="00E94119" w:rsidP="00FB15A4">
      <w:pPr>
        <w:spacing w:after="18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 montant, calculé conform</w:t>
      </w:r>
      <w:r w:rsidR="000A0C60">
        <w:rPr>
          <w:rFonts w:ascii="Arial" w:hAnsi="Arial" w:cs="Arial"/>
          <w:b/>
          <w:bCs/>
          <w:sz w:val="20"/>
        </w:rPr>
        <w:t>ément aux dispositions légales ci-haut mentionnées</w:t>
      </w:r>
      <w:r w:rsidR="0053672B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comprend :</w:t>
      </w:r>
    </w:p>
    <w:tbl>
      <w:tblPr>
        <w:tblW w:w="102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2734"/>
      </w:tblGrid>
      <w:tr w:rsidR="00E94119" w14:paraId="2AC17D64" w14:textId="77777777" w:rsidTr="00FB15A4">
        <w:tc>
          <w:tcPr>
            <w:tcW w:w="7560" w:type="dxa"/>
          </w:tcPr>
          <w:p w14:paraId="33DC88AE" w14:textId="77777777" w:rsidR="00E94119" w:rsidRDefault="00E94119" w:rsidP="00D448C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 montant en capital et en intérêts impayés jusqu’à la date de la réclamation, tant sur le prêt que sur </w:t>
            </w:r>
            <w:r w:rsidR="00B50D55">
              <w:rPr>
                <w:rFonts w:ascii="Arial" w:hAnsi="Arial" w:cs="Arial"/>
                <w:sz w:val="18"/>
              </w:rPr>
              <w:t xml:space="preserve">les </w:t>
            </w:r>
            <w:r>
              <w:rPr>
                <w:rFonts w:ascii="Arial" w:hAnsi="Arial" w:cs="Arial"/>
                <w:sz w:val="18"/>
              </w:rPr>
              <w:t xml:space="preserve">dépenses </w:t>
            </w:r>
            <w:r w:rsidR="00B50D55">
              <w:rPr>
                <w:rFonts w:ascii="Arial" w:hAnsi="Arial" w:cs="Arial"/>
                <w:sz w:val="18"/>
              </w:rPr>
              <w:t>admissibles en vertu du Programme</w:t>
            </w:r>
            <w:r w:rsidR="00D448C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tcMar>
              <w:right w:w="130" w:type="dxa"/>
            </w:tcMar>
            <w:vAlign w:val="bottom"/>
          </w:tcPr>
          <w:p w14:paraId="3F152F39" w14:textId="77777777" w:rsidR="00E94119" w:rsidRDefault="00481B25" w:rsidP="00FB15A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="00E94119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E94119">
              <w:rPr>
                <w:rFonts w:ascii="Arial" w:hAnsi="Arial" w:cs="Arial"/>
                <w:sz w:val="18"/>
              </w:rPr>
              <w:t> $</w:t>
            </w:r>
          </w:p>
        </w:tc>
      </w:tr>
    </w:tbl>
    <w:p w14:paraId="43E60944" w14:textId="77777777" w:rsidR="00E94119" w:rsidRDefault="00E94119" w:rsidP="00FB15A4">
      <w:pPr>
        <w:spacing w:before="180" w:after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LE SOUSSIGNÉ DÉCLARE PAR LES PRÉSENTES</w:t>
      </w:r>
      <w:r>
        <w:rPr>
          <w:rFonts w:ascii="Arial" w:hAnsi="Arial" w:cs="Arial"/>
          <w:sz w:val="18"/>
        </w:rPr>
        <w:t xml:space="preserve"> que les calculs d’intérêts effectués correspondent exactement aux charges faites à l’emprunteur, que tous les encaissements y ont été enregistrés et qu’il a fourni toutes les pièces exigées pour la présentation de la réclamation.</w:t>
      </w:r>
    </w:p>
    <w:p w14:paraId="3BE1DAC7" w14:textId="77777777" w:rsidR="00E94119" w:rsidRDefault="00E94119" w:rsidP="00FB15A4">
      <w:pPr>
        <w:spacing w:after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 l’avis du représentant soussigné du prêteur, le solde dudit prêt n’est pas recouvrable de l’emprunteur (ni du débiteur, si le paiement du prêt a été assumé par un tiers).</w:t>
      </w:r>
    </w:p>
    <w:p w14:paraId="0EC049C9" w14:textId="552984C8" w:rsidR="00E94119" w:rsidRDefault="003349A4">
      <w:pPr>
        <w:tabs>
          <w:tab w:val="left" w:pos="2340"/>
        </w:tabs>
        <w:ind w:left="540" w:hanging="540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  </w:t>
      </w:r>
      <w:r w:rsidR="00E94119">
        <w:rPr>
          <w:rFonts w:ascii="Arial" w:hAnsi="Arial" w:cs="Arial"/>
          <w:b/>
          <w:bCs/>
          <w:sz w:val="18"/>
        </w:rPr>
        <w:t>Date</w:t>
      </w:r>
      <w:r w:rsidR="00E94119">
        <w:rPr>
          <w:rFonts w:ascii="Arial" w:hAnsi="Arial" w:cs="Arial"/>
          <w:b/>
          <w:bCs/>
          <w:sz w:val="18"/>
        </w:rPr>
        <w:tab/>
      </w:r>
      <w:r w:rsidR="00E94119">
        <w:rPr>
          <w:rFonts w:ascii="Arial" w:hAnsi="Arial" w:cs="Arial"/>
          <w:b/>
          <w:bCs/>
          <w:sz w:val="18"/>
        </w:rPr>
        <w:tab/>
        <w:t xml:space="preserve">  Signature d’un représentant du prêteur 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834"/>
      </w:tblGrid>
      <w:tr w:rsidR="00E94119" w14:paraId="53A298A5" w14:textId="77777777">
        <w:trPr>
          <w:trHeight w:hRule="exact" w:val="576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B67E9" w14:textId="77777777" w:rsidR="00E94119" w:rsidRDefault="00481B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="00E94119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 w:rsidR="00E94119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7954" w:type="dxa"/>
            <w:tcBorders>
              <w:left w:val="single" w:sz="2" w:space="0" w:color="auto"/>
            </w:tcBorders>
            <w:vAlign w:val="center"/>
          </w:tcPr>
          <w:p w14:paraId="592DF87C" w14:textId="77777777" w:rsidR="00E94119" w:rsidRDefault="00E94119">
            <w:pPr>
              <w:rPr>
                <w:rFonts w:ascii="Arial" w:hAnsi="Arial" w:cs="Arial"/>
                <w:sz w:val="18"/>
              </w:rPr>
            </w:pPr>
          </w:p>
        </w:tc>
      </w:tr>
    </w:tbl>
    <w:p w14:paraId="4533F574" w14:textId="511C7C56" w:rsidR="00DB0E0D" w:rsidRDefault="00DB0E0D" w:rsidP="00FB15A4">
      <w:pPr>
        <w:spacing w:before="360"/>
        <w:ind w:left="539" w:hanging="539"/>
        <w:jc w:val="both"/>
        <w:rPr>
          <w:rFonts w:ascii="Arial" w:hAnsi="Arial" w:cs="Arial"/>
          <w:sz w:val="16"/>
        </w:rPr>
      </w:pPr>
    </w:p>
    <w:p w14:paraId="7EFC8C55" w14:textId="0812133A" w:rsidR="00DB0E0D" w:rsidRPr="00C00A64" w:rsidRDefault="00DB0E0D" w:rsidP="00DB0E0D">
      <w:pPr>
        <w:pStyle w:val="Corpsdetexte"/>
        <w:pBdr>
          <w:top w:val="single" w:sz="4" w:space="1" w:color="auto"/>
        </w:pBdr>
        <w:shd w:val="clear" w:color="auto" w:fill="F2F2F2" w:themeFill="background1" w:themeFillShade="F2"/>
        <w:spacing w:before="0"/>
        <w:ind w:right="43"/>
        <w:rPr>
          <w:rFonts w:ascii="Arial Gras" w:hAnsi="Arial Gras"/>
          <w:b/>
          <w:smallCaps/>
          <w:sz w:val="18"/>
          <w:szCs w:val="18"/>
        </w:rPr>
      </w:pPr>
      <w:r>
        <w:rPr>
          <w:rFonts w:ascii="Arial Gras" w:hAnsi="Arial Gras"/>
          <w:b/>
          <w:smallCaps/>
          <w:sz w:val="18"/>
          <w:szCs w:val="18"/>
        </w:rPr>
        <w:t>Adresser à</w:t>
      </w:r>
      <w:r w:rsidRPr="00C00A64">
        <w:rPr>
          <w:rFonts w:ascii="Arial Gras" w:hAnsi="Arial Gras"/>
          <w:b/>
          <w:smallCaps/>
          <w:sz w:val="18"/>
          <w:szCs w:val="18"/>
        </w:rPr>
        <w:t> :</w:t>
      </w:r>
    </w:p>
    <w:p w14:paraId="551479F5" w14:textId="277A2A13" w:rsidR="00DB0E0D" w:rsidRDefault="00DB0E0D" w:rsidP="00DB0E0D">
      <w:p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ind w:right="43"/>
        <w:rPr>
          <w:rFonts w:ascii="Arial" w:hAnsi="Arial"/>
          <w:sz w:val="17"/>
        </w:rPr>
      </w:pPr>
      <w:r w:rsidRPr="00513EE0">
        <w:rPr>
          <w:rFonts w:ascii="Arial" w:hAnsi="Arial"/>
          <w:sz w:val="17"/>
        </w:rPr>
        <w:t xml:space="preserve">La Financière agricole du Québec </w:t>
      </w:r>
    </w:p>
    <w:p w14:paraId="31F363F4" w14:textId="14ACD367" w:rsidR="00DB0E0D" w:rsidRPr="00513EE0" w:rsidRDefault="00DB0E0D" w:rsidP="00DB0E0D">
      <w:p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ind w:right="43"/>
        <w:rPr>
          <w:rFonts w:ascii="Arial" w:hAnsi="Arial"/>
          <w:sz w:val="17"/>
        </w:rPr>
      </w:pPr>
      <w:r>
        <w:rPr>
          <w:rFonts w:ascii="Arial" w:hAnsi="Arial"/>
          <w:sz w:val="17"/>
        </w:rPr>
        <w:t>Direction des comptes spéciaux</w:t>
      </w:r>
    </w:p>
    <w:p w14:paraId="0D978AF1" w14:textId="61ACEAB5" w:rsidR="00DB0E0D" w:rsidRPr="00513EE0" w:rsidRDefault="00191DD9" w:rsidP="00191DD9">
      <w:p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ind w:right="43"/>
        <w:rPr>
          <w:rFonts w:ascii="Arial" w:hAnsi="Arial"/>
          <w:sz w:val="17"/>
        </w:rPr>
      </w:pPr>
      <w:r>
        <w:rPr>
          <w:rFonts w:ascii="Arial" w:hAnsi="Arial"/>
          <w:sz w:val="17"/>
        </w:rPr>
        <w:t>1</w:t>
      </w:r>
      <w:r w:rsidR="00DB0E0D" w:rsidRPr="00513EE0">
        <w:rPr>
          <w:rFonts w:ascii="Arial" w:hAnsi="Arial"/>
          <w:sz w:val="17"/>
        </w:rPr>
        <w:t>400, boulevard Guillaume-Couture</w:t>
      </w:r>
      <w:r w:rsidR="00DB0E0D">
        <w:rPr>
          <w:rFonts w:ascii="Arial" w:hAnsi="Arial"/>
          <w:sz w:val="17"/>
        </w:rPr>
        <w:t>, 2</w:t>
      </w:r>
      <w:r w:rsidR="00DB0E0D" w:rsidRPr="00DB0E0D">
        <w:rPr>
          <w:rFonts w:ascii="Arial" w:hAnsi="Arial"/>
          <w:sz w:val="17"/>
          <w:vertAlign w:val="superscript"/>
        </w:rPr>
        <w:t>e</w:t>
      </w:r>
      <w:r w:rsidR="00DB0E0D">
        <w:rPr>
          <w:rFonts w:ascii="Arial" w:hAnsi="Arial"/>
          <w:sz w:val="17"/>
        </w:rPr>
        <w:t xml:space="preserve"> étage</w:t>
      </w:r>
    </w:p>
    <w:p w14:paraId="09B9F85A" w14:textId="3F9A112A" w:rsidR="00DB0E0D" w:rsidRPr="00513EE0" w:rsidRDefault="00DB0E0D" w:rsidP="00191DD9">
      <w:pPr>
        <w:shd w:val="clear" w:color="auto" w:fill="F2F2F2" w:themeFill="background1" w:themeFillShade="F2"/>
        <w:tabs>
          <w:tab w:val="left" w:pos="1134"/>
        </w:tabs>
        <w:autoSpaceDE w:val="0"/>
        <w:autoSpaceDN w:val="0"/>
        <w:adjustRightInd w:val="0"/>
        <w:ind w:right="43"/>
        <w:rPr>
          <w:rFonts w:ascii="Arial" w:hAnsi="Arial"/>
          <w:sz w:val="17"/>
        </w:rPr>
      </w:pPr>
      <w:r w:rsidRPr="00513EE0">
        <w:rPr>
          <w:rFonts w:ascii="Arial" w:hAnsi="Arial"/>
          <w:sz w:val="17"/>
        </w:rPr>
        <w:t>Lévis (Québec)  G6W 8K7</w:t>
      </w:r>
      <w:r w:rsidR="00191DD9">
        <w:rPr>
          <w:rFonts w:ascii="Arial" w:hAnsi="Arial"/>
          <w:sz w:val="17"/>
        </w:rPr>
        <w:br/>
      </w:r>
    </w:p>
    <w:sectPr w:rsidR="00DB0E0D" w:rsidRPr="00513EE0" w:rsidSect="00021503">
      <w:type w:val="continuous"/>
      <w:pgSz w:w="12240" w:h="15840" w:code="1"/>
      <w:pgMar w:top="142" w:right="1008" w:bottom="288" w:left="1008" w:header="142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7225" w14:textId="77777777" w:rsidR="004643D0" w:rsidRDefault="004643D0" w:rsidP="004643D0">
      <w:r>
        <w:separator/>
      </w:r>
    </w:p>
  </w:endnote>
  <w:endnote w:type="continuationSeparator" w:id="0">
    <w:p w14:paraId="0832B474" w14:textId="77777777" w:rsidR="004643D0" w:rsidRDefault="004643D0" w:rsidP="0046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0BB7" w14:textId="6FC3CE6F" w:rsidR="004643D0" w:rsidRPr="004643D0" w:rsidRDefault="004643D0" w:rsidP="004643D0">
    <w:pPr>
      <w:pStyle w:val="Pieddepage"/>
      <w:jc w:val="right"/>
      <w:rPr>
        <w:rFonts w:ascii="Arial" w:hAnsi="Arial" w:cs="Arial"/>
        <w:sz w:val="18"/>
        <w:szCs w:val="18"/>
      </w:rPr>
    </w:pPr>
    <w:r w:rsidRPr="004643D0">
      <w:rPr>
        <w:rFonts w:ascii="Arial" w:hAnsi="Arial" w:cs="Arial"/>
        <w:sz w:val="18"/>
        <w:szCs w:val="18"/>
      </w:rPr>
      <w:t>2021-10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4D2F" w14:textId="77777777" w:rsidR="004643D0" w:rsidRDefault="004643D0" w:rsidP="004643D0">
      <w:r>
        <w:separator/>
      </w:r>
    </w:p>
  </w:footnote>
  <w:footnote w:type="continuationSeparator" w:id="0">
    <w:p w14:paraId="7D64FD6D" w14:textId="77777777" w:rsidR="004643D0" w:rsidRDefault="004643D0" w:rsidP="0046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E2A9" w14:textId="4E6862BB" w:rsidR="00021503" w:rsidRPr="00021503" w:rsidRDefault="004643D0" w:rsidP="00717C8E">
    <w:pPr>
      <w:tabs>
        <w:tab w:val="right" w:pos="10260"/>
      </w:tabs>
      <w:spacing w:after="60"/>
      <w:jc w:val="right"/>
      <w:rPr>
        <w:rFonts w:ascii="Arial" w:hAnsi="Arial" w:cs="Arial"/>
        <w:b/>
        <w:bCs/>
        <w:sz w:val="34"/>
      </w:rPr>
    </w:pPr>
    <w:r>
      <w:rPr>
        <w:rFonts w:ascii="Arial" w:hAnsi="Arial" w:cs="Arial"/>
        <w:b/>
        <w:bCs/>
        <w:sz w:val="34"/>
      </w:rPr>
      <w:t>AP-1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70"/>
    <w:rsid w:val="00021503"/>
    <w:rsid w:val="000A0C60"/>
    <w:rsid w:val="000B1D2B"/>
    <w:rsid w:val="00182126"/>
    <w:rsid w:val="00184F14"/>
    <w:rsid w:val="00191DD9"/>
    <w:rsid w:val="002C5EEB"/>
    <w:rsid w:val="003349A4"/>
    <w:rsid w:val="003779C8"/>
    <w:rsid w:val="003B05CE"/>
    <w:rsid w:val="003D7CA8"/>
    <w:rsid w:val="00457086"/>
    <w:rsid w:val="004643D0"/>
    <w:rsid w:val="00481B25"/>
    <w:rsid w:val="00483638"/>
    <w:rsid w:val="004D7D72"/>
    <w:rsid w:val="004E192E"/>
    <w:rsid w:val="004F66E3"/>
    <w:rsid w:val="00512CE6"/>
    <w:rsid w:val="0053672B"/>
    <w:rsid w:val="00544FFB"/>
    <w:rsid w:val="00562CCA"/>
    <w:rsid w:val="005C1040"/>
    <w:rsid w:val="00717C8E"/>
    <w:rsid w:val="007760C2"/>
    <w:rsid w:val="0078747C"/>
    <w:rsid w:val="007C3903"/>
    <w:rsid w:val="008823C8"/>
    <w:rsid w:val="008A5103"/>
    <w:rsid w:val="009D4960"/>
    <w:rsid w:val="00AC6673"/>
    <w:rsid w:val="00AF1676"/>
    <w:rsid w:val="00B007B6"/>
    <w:rsid w:val="00B50D55"/>
    <w:rsid w:val="00B6387C"/>
    <w:rsid w:val="00B7006B"/>
    <w:rsid w:val="00CB1786"/>
    <w:rsid w:val="00D448C4"/>
    <w:rsid w:val="00DB0E0D"/>
    <w:rsid w:val="00E34E83"/>
    <w:rsid w:val="00E47A71"/>
    <w:rsid w:val="00E94119"/>
    <w:rsid w:val="00ED3070"/>
    <w:rsid w:val="00EF5F8C"/>
    <w:rsid w:val="00F04FB3"/>
    <w:rsid w:val="00F24E25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BB25E"/>
  <w15:chartTrackingRefBased/>
  <w15:docId w15:val="{25FBF4F3-9C34-4DD0-BC76-B6FD429A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B3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7C8E"/>
    <w:pPr>
      <w:tabs>
        <w:tab w:val="right" w:pos="10260"/>
      </w:tabs>
      <w:ind w:right="-584"/>
      <w:outlineLvl w:val="0"/>
    </w:pPr>
    <w:rPr>
      <w:rFonts w:ascii="Arial" w:hAnsi="Arial" w:cs="Arial"/>
      <w:b/>
      <w:bCs/>
      <w:small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E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5EEB"/>
    <w:rPr>
      <w:rFonts w:ascii="Tahom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53672B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17C8E"/>
    <w:rPr>
      <w:rFonts w:ascii="Arial" w:hAnsi="Arial" w:cs="Arial"/>
      <w:b/>
      <w:bCs/>
      <w:smallCaps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43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643D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43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3D0"/>
    <w:rPr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B0E0D"/>
    <w:pPr>
      <w:autoSpaceDE w:val="0"/>
      <w:autoSpaceDN w:val="0"/>
      <w:adjustRightInd w:val="0"/>
      <w:spacing w:before="120"/>
      <w:jc w:val="both"/>
    </w:pPr>
    <w:rPr>
      <w:rFonts w:ascii="Arial" w:hAnsi="Arial" w:cs="Arial"/>
      <w:sz w:val="17"/>
      <w:szCs w:val="17"/>
      <w:lang w:eastAsia="fr-CA"/>
    </w:rPr>
  </w:style>
  <w:style w:type="character" w:customStyle="1" w:styleId="CorpsdetexteCar">
    <w:name w:val="Corps de texte Car"/>
    <w:basedOn w:val="Policepardfaut"/>
    <w:link w:val="Corpsdetexte"/>
    <w:semiHidden/>
    <w:rsid w:val="00DB0E0D"/>
    <w:rPr>
      <w:rFonts w:ascii="Arial" w:hAnsi="Arial" w:cs="Arial"/>
      <w:sz w:val="17"/>
      <w:szCs w:val="17"/>
    </w:rPr>
  </w:style>
  <w:style w:type="character" w:styleId="Lienhypertexte">
    <w:name w:val="Hyperlink"/>
    <w:semiHidden/>
    <w:rsid w:val="00DB0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Réclamation en remboursement d'engagements financiers consentis en vertu de lois ou de programmes administrés par La Financière agricole du Québec</vt:lpstr>
    </vt:vector>
  </TitlesOfParts>
  <Company>FADQ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Réclamation en remboursement d'engagements financiers consentis en vertu de lois ou de programmes administrés par La Financière agricole du Québec</dc:title>
  <dc:subject>AP-1 - Réclamation en remboursement de pertes en vertu de la Loi sur l'assurance-prêts agricoles et forestiers</dc:subject>
  <dc:creator>Direction de la gestion des produits financiers - FADQ</dc:creator>
  <cp:keywords>AP-1, formulaire, réclamation, remboursement, pertes</cp:keywords>
  <cp:lastModifiedBy>Mundviller, Martine</cp:lastModifiedBy>
  <cp:revision>12</cp:revision>
  <cp:lastPrinted>2006-11-29T16:53:00Z</cp:lastPrinted>
  <dcterms:created xsi:type="dcterms:W3CDTF">2021-10-28T18:50:00Z</dcterms:created>
  <dcterms:modified xsi:type="dcterms:W3CDTF">2021-10-28T19:34:00Z</dcterms:modified>
</cp:coreProperties>
</file>