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B09" w:rsidRDefault="00114B09">
      <w:pPr>
        <w:jc w:val="center"/>
        <w:rPr>
          <w:rFonts w:cs="Arial"/>
          <w:b/>
        </w:rPr>
      </w:pPr>
      <w:bookmarkStart w:id="0" w:name="_GoBack"/>
      <w:bookmarkEnd w:id="0"/>
      <w:r>
        <w:rPr>
          <w:rFonts w:cs="Arial"/>
          <w:b/>
        </w:rPr>
        <w:t>SIGNIFICATION DES CODES RETENUS POUR</w:t>
      </w:r>
    </w:p>
    <w:p w:rsidR="00114B09" w:rsidRDefault="00114B09">
      <w:pPr>
        <w:jc w:val="center"/>
        <w:rPr>
          <w:rFonts w:cs="Arial"/>
          <w:b/>
        </w:rPr>
      </w:pPr>
      <w:r>
        <w:rPr>
          <w:rFonts w:cs="Arial"/>
          <w:b/>
        </w:rPr>
        <w:t>LES ACTES DE PRÊT ET DE GARANTIE</w:t>
      </w:r>
    </w:p>
    <w:p w:rsidR="00114B09" w:rsidRDefault="00114B09">
      <w:pPr>
        <w:jc w:val="center"/>
        <w:rPr>
          <w:rFonts w:cs="Arial"/>
        </w:rPr>
      </w:pPr>
      <w:r>
        <w:rPr>
          <w:rFonts w:cs="Arial"/>
          <w:b/>
        </w:rPr>
        <w:t>EN FRANÇAIS ET EN ANGLAIS</w:t>
      </w:r>
    </w:p>
    <w:p w:rsidR="008333EB" w:rsidRDefault="008333EB">
      <w:pPr>
        <w:rPr>
          <w:rFonts w:cs="Arial"/>
        </w:rPr>
      </w:pPr>
    </w:p>
    <w:p w:rsidR="00114B09" w:rsidRDefault="00114B09">
      <w:pPr>
        <w:rPr>
          <w:rFonts w:cs="Arial"/>
        </w:rPr>
      </w:pPr>
      <w:r>
        <w:rPr>
          <w:rFonts w:cs="Arial"/>
        </w:rPr>
        <w:t>1-</w:t>
      </w:r>
      <w:r>
        <w:rPr>
          <w:rFonts w:cs="Arial"/>
        </w:rPr>
        <w:tab/>
      </w:r>
      <w:r>
        <w:rPr>
          <w:rFonts w:cs="Arial"/>
          <w:u w:val="single"/>
        </w:rPr>
        <w:t xml:space="preserve">Codes retenus comme identifiants selon </w:t>
      </w:r>
      <w:r>
        <w:rPr>
          <w:rFonts w:cs="Arial"/>
          <w:b/>
          <w:u w:val="single"/>
        </w:rPr>
        <w:t>les catégories de prêts</w:t>
      </w:r>
    </w:p>
    <w:p w:rsidR="00114B09" w:rsidRDefault="00114B09">
      <w:pPr>
        <w:rPr>
          <w:rFonts w:cs="Arial"/>
        </w:rPr>
      </w:pPr>
    </w:p>
    <w:p w:rsidR="00114B09" w:rsidRDefault="00114B09">
      <w:pPr>
        <w:rPr>
          <w:rFonts w:cs="Arial"/>
        </w:rPr>
      </w:pPr>
      <w:r>
        <w:rPr>
          <w:rFonts w:cs="Arial"/>
        </w:rPr>
        <w:tab/>
        <w:t>Il s'agit de nombres dans la série des milliers :</w:t>
      </w:r>
    </w:p>
    <w:p w:rsidR="00114B09" w:rsidRDefault="00114B09">
      <w:pPr>
        <w:rPr>
          <w:rFonts w:cs="Arial"/>
          <w:sz w:val="16"/>
        </w:rPr>
      </w:pPr>
    </w:p>
    <w:p w:rsidR="00114B09" w:rsidRPr="00744DA3" w:rsidRDefault="00114B09" w:rsidP="00744DA3">
      <w:pPr>
        <w:ind w:left="540"/>
        <w:rPr>
          <w:rFonts w:cs="Arial"/>
        </w:rPr>
      </w:pPr>
      <w:r w:rsidRPr="00744DA3">
        <w:rPr>
          <w:rFonts w:cs="Arial"/>
        </w:rPr>
        <w:t>3 000 : actes relatifs aux prêts agricoles en français;</w:t>
      </w:r>
    </w:p>
    <w:p w:rsidR="00114B09" w:rsidRPr="00744DA3" w:rsidRDefault="00114B09" w:rsidP="00744DA3">
      <w:pPr>
        <w:ind w:left="540"/>
        <w:rPr>
          <w:rFonts w:cs="Arial"/>
        </w:rPr>
      </w:pPr>
      <w:r w:rsidRPr="00744DA3">
        <w:rPr>
          <w:rFonts w:cs="Arial"/>
        </w:rPr>
        <w:t>4 000 : actes relatifs aux prêts agricoles en anglais;</w:t>
      </w:r>
    </w:p>
    <w:p w:rsidR="00114B09" w:rsidRPr="00744DA3" w:rsidRDefault="00114B09" w:rsidP="00744DA3">
      <w:pPr>
        <w:ind w:left="540"/>
        <w:rPr>
          <w:rFonts w:cs="Arial"/>
        </w:rPr>
      </w:pPr>
      <w:r w:rsidRPr="00744DA3">
        <w:rPr>
          <w:rFonts w:cs="Arial"/>
        </w:rPr>
        <w:t>5 000 : actes relatifs aux prêts forestiers en français;</w:t>
      </w:r>
    </w:p>
    <w:p w:rsidR="00114B09" w:rsidRPr="00744DA3" w:rsidRDefault="00114B09" w:rsidP="00744DA3">
      <w:pPr>
        <w:ind w:left="540"/>
        <w:rPr>
          <w:rFonts w:cs="Arial"/>
        </w:rPr>
      </w:pPr>
      <w:r w:rsidRPr="00744DA3">
        <w:rPr>
          <w:rFonts w:cs="Arial"/>
        </w:rPr>
        <w:t>6 000 : actes relatifs aux prêts forestiers en anglais;</w:t>
      </w:r>
    </w:p>
    <w:p w:rsidR="00114B09" w:rsidRPr="00744DA3" w:rsidRDefault="00114B09" w:rsidP="00744DA3">
      <w:pPr>
        <w:ind w:left="540"/>
        <w:rPr>
          <w:rFonts w:cs="Arial"/>
        </w:rPr>
      </w:pPr>
      <w:r w:rsidRPr="00744DA3">
        <w:rPr>
          <w:rFonts w:cs="Arial"/>
        </w:rPr>
        <w:t>7 000 : actes de subrogation agricoles et forestiers en frança</w:t>
      </w:r>
      <w:r w:rsidR="001A393D" w:rsidRPr="00744DA3">
        <w:rPr>
          <w:rFonts w:cs="Arial"/>
        </w:rPr>
        <w:t>is et en anglais;</w:t>
      </w:r>
    </w:p>
    <w:p w:rsidR="00114B09" w:rsidRPr="00744DA3" w:rsidRDefault="003C3468" w:rsidP="00744DA3">
      <w:pPr>
        <w:ind w:left="540"/>
        <w:rPr>
          <w:rFonts w:cs="Arial"/>
        </w:rPr>
      </w:pPr>
      <w:r w:rsidRPr="00744DA3">
        <w:rPr>
          <w:rFonts w:cs="Arial"/>
        </w:rPr>
        <w:t>8 000 : actes relatifs aux marges de crédit à l’investissement</w:t>
      </w:r>
      <w:r w:rsidR="001A393D" w:rsidRPr="00744DA3">
        <w:rPr>
          <w:rFonts w:cs="Arial"/>
        </w:rPr>
        <w:t xml:space="preserve"> en français</w:t>
      </w:r>
      <w:r w:rsidRPr="00744DA3">
        <w:rPr>
          <w:rFonts w:cs="Arial"/>
        </w:rPr>
        <w:t>;</w:t>
      </w:r>
    </w:p>
    <w:p w:rsidR="001A393D" w:rsidRPr="00744DA3" w:rsidRDefault="00000F0D" w:rsidP="009A334D">
      <w:pPr>
        <w:ind w:left="540"/>
        <w:rPr>
          <w:rFonts w:cs="Arial"/>
        </w:rPr>
      </w:pPr>
      <w:r w:rsidRPr="00744DA3">
        <w:rPr>
          <w:rFonts w:cs="Arial"/>
        </w:rPr>
        <w:t>9</w:t>
      </w:r>
      <w:r w:rsidR="001A393D" w:rsidRPr="00744DA3">
        <w:rPr>
          <w:rFonts w:cs="Arial"/>
        </w:rPr>
        <w:t> 000 : actes relatifs aux marges de crédit à l’investissement en anglais</w:t>
      </w:r>
      <w:r w:rsidR="009A334D">
        <w:rPr>
          <w:rFonts w:cs="Arial"/>
        </w:rPr>
        <w:t xml:space="preserve"> (</w:t>
      </w:r>
      <w:r w:rsidR="009A334D">
        <w:rPr>
          <w:rFonts w:cs="Arial"/>
          <w:b/>
        </w:rPr>
        <w:t>à venir)</w:t>
      </w:r>
      <w:r w:rsidR="001A393D" w:rsidRPr="00744DA3">
        <w:rPr>
          <w:rFonts w:cs="Arial"/>
        </w:rPr>
        <w:t>.</w:t>
      </w:r>
    </w:p>
    <w:p w:rsidR="001A393D" w:rsidRDefault="001A393D" w:rsidP="00744DA3">
      <w:pPr>
        <w:spacing w:line="360" w:lineRule="auto"/>
        <w:rPr>
          <w:rFonts w:cs="Arial"/>
        </w:rPr>
      </w:pPr>
    </w:p>
    <w:p w:rsidR="00114B09" w:rsidRDefault="00114B09">
      <w:pPr>
        <w:rPr>
          <w:rFonts w:cs="Arial"/>
        </w:rPr>
      </w:pPr>
      <w:r>
        <w:rPr>
          <w:rFonts w:cs="Arial"/>
        </w:rPr>
        <w:t>2-</w:t>
      </w:r>
      <w:r>
        <w:rPr>
          <w:rFonts w:cs="Arial"/>
        </w:rPr>
        <w:tab/>
      </w:r>
      <w:r>
        <w:rPr>
          <w:rFonts w:cs="Arial"/>
          <w:u w:val="single"/>
        </w:rPr>
        <w:t xml:space="preserve">Codes retenus comme identifiants selon </w:t>
      </w:r>
      <w:r>
        <w:rPr>
          <w:rFonts w:cs="Arial"/>
          <w:b/>
          <w:u w:val="single"/>
        </w:rPr>
        <w:t>les catégories d'actes</w:t>
      </w:r>
    </w:p>
    <w:p w:rsidR="00114B09" w:rsidRDefault="00114B09">
      <w:pPr>
        <w:rPr>
          <w:rFonts w:cs="Arial"/>
        </w:rPr>
      </w:pPr>
    </w:p>
    <w:p w:rsidR="00114B09" w:rsidRDefault="00114B09">
      <w:pPr>
        <w:ind w:left="360" w:hanging="360"/>
        <w:rPr>
          <w:rFonts w:cs="Arial"/>
        </w:rPr>
      </w:pPr>
      <w:r>
        <w:rPr>
          <w:rFonts w:cs="Arial"/>
        </w:rPr>
        <w:tab/>
        <w:t>Il s'agit d'un nombre dans la série des dizaines incorporé à la fin de l'identifiant de la catégorie de prêts:</w:t>
      </w:r>
    </w:p>
    <w:p w:rsidR="00114B09" w:rsidRDefault="00114B09">
      <w:pPr>
        <w:ind w:left="360" w:hanging="360"/>
        <w:rPr>
          <w:rFonts w:cs="Arial"/>
          <w:sz w:val="16"/>
        </w:rPr>
      </w:pPr>
    </w:p>
    <w:p w:rsidR="00114B09" w:rsidRPr="00744DA3" w:rsidRDefault="00114B09" w:rsidP="00744DA3">
      <w:pPr>
        <w:ind w:left="180" w:firstLine="360"/>
        <w:rPr>
          <w:rFonts w:cs="Arial"/>
        </w:rPr>
      </w:pPr>
      <w:r w:rsidRPr="00744DA3">
        <w:rPr>
          <w:rFonts w:cs="Arial"/>
        </w:rPr>
        <w:t>série des 00 : actes de prêt;</w:t>
      </w:r>
    </w:p>
    <w:p w:rsidR="00114B09" w:rsidRPr="00744DA3" w:rsidRDefault="00114B09" w:rsidP="00744DA3">
      <w:pPr>
        <w:ind w:left="180" w:firstLine="360"/>
        <w:rPr>
          <w:rFonts w:cs="Arial"/>
        </w:rPr>
      </w:pPr>
      <w:r w:rsidRPr="00744DA3">
        <w:rPr>
          <w:rFonts w:cs="Arial"/>
        </w:rPr>
        <w:t>série des 10 : acte de garantie;</w:t>
      </w:r>
    </w:p>
    <w:p w:rsidR="00114B09" w:rsidRPr="00744DA3" w:rsidRDefault="00114B09" w:rsidP="00744DA3">
      <w:pPr>
        <w:ind w:left="180" w:firstLine="360"/>
        <w:rPr>
          <w:rFonts w:cs="Arial"/>
        </w:rPr>
      </w:pPr>
      <w:r w:rsidRPr="00744DA3">
        <w:rPr>
          <w:rFonts w:cs="Arial"/>
        </w:rPr>
        <w:t>série des 30 : actes de garanties par un tiers;</w:t>
      </w:r>
    </w:p>
    <w:p w:rsidR="00114B09" w:rsidRPr="00744DA3" w:rsidRDefault="00114B09" w:rsidP="00744DA3">
      <w:pPr>
        <w:ind w:left="180" w:firstLine="360"/>
        <w:rPr>
          <w:rFonts w:cs="Arial"/>
        </w:rPr>
      </w:pPr>
      <w:r w:rsidRPr="00744DA3">
        <w:rPr>
          <w:rFonts w:cs="Arial"/>
        </w:rPr>
        <w:t>série des 40 : actes de garanties mobilières additionnelles;</w:t>
      </w:r>
    </w:p>
    <w:p w:rsidR="00114B09" w:rsidRPr="00744DA3" w:rsidRDefault="00114B09" w:rsidP="00744DA3">
      <w:pPr>
        <w:ind w:left="180" w:firstLine="360"/>
        <w:rPr>
          <w:rFonts w:cs="Arial"/>
        </w:rPr>
      </w:pPr>
      <w:r w:rsidRPr="00744DA3">
        <w:rPr>
          <w:rFonts w:cs="Arial"/>
        </w:rPr>
        <w:t>série des 50 : actes relatifs aux « autres garanties »;</w:t>
      </w:r>
    </w:p>
    <w:p w:rsidR="00114B09" w:rsidRPr="00744DA3" w:rsidRDefault="00114B09" w:rsidP="00744DA3">
      <w:pPr>
        <w:ind w:left="180" w:firstLine="360"/>
        <w:rPr>
          <w:rFonts w:cs="Arial"/>
        </w:rPr>
      </w:pPr>
      <w:r w:rsidRPr="00744DA3">
        <w:rPr>
          <w:rFonts w:cs="Arial"/>
        </w:rPr>
        <w:t>série des 60 : acte d'ouverture de crédit;</w:t>
      </w:r>
    </w:p>
    <w:p w:rsidR="00114B09" w:rsidRPr="00744DA3" w:rsidRDefault="00114B09" w:rsidP="00744DA3">
      <w:pPr>
        <w:ind w:left="180" w:firstLine="360"/>
        <w:rPr>
          <w:rFonts w:cs="Arial"/>
        </w:rPr>
      </w:pPr>
      <w:r w:rsidRPr="00744DA3">
        <w:rPr>
          <w:rFonts w:cs="Arial"/>
        </w:rPr>
        <w:t>série des 70 : ac</w:t>
      </w:r>
      <w:r w:rsidR="00E042EE" w:rsidRPr="00744DA3">
        <w:rPr>
          <w:rFonts w:cs="Arial"/>
        </w:rPr>
        <w:t>tes relatifs aux « pari passu »;</w:t>
      </w:r>
    </w:p>
    <w:p w:rsidR="00E042EE" w:rsidRPr="00744DA3" w:rsidRDefault="00E042EE" w:rsidP="00744DA3">
      <w:pPr>
        <w:ind w:left="180" w:firstLine="360"/>
        <w:rPr>
          <w:rFonts w:cs="Arial"/>
        </w:rPr>
      </w:pPr>
      <w:r w:rsidRPr="00744DA3">
        <w:rPr>
          <w:rFonts w:cs="Arial"/>
        </w:rPr>
        <w:t>série des 80 : autres modèles d’actes.</w:t>
      </w:r>
    </w:p>
    <w:p w:rsidR="00360E42" w:rsidRPr="00744DA3" w:rsidRDefault="00360E42" w:rsidP="00744DA3">
      <w:pPr>
        <w:ind w:left="180" w:firstLine="360"/>
        <w:rPr>
          <w:rFonts w:cs="Arial"/>
        </w:rPr>
      </w:pPr>
      <w:r w:rsidRPr="00744DA3">
        <w:rPr>
          <w:rFonts w:cs="Arial"/>
        </w:rPr>
        <w:t>série des 90 : autres modèles d’actes.</w:t>
      </w:r>
    </w:p>
    <w:p w:rsidR="00114B09" w:rsidRDefault="00114B09">
      <w:pPr>
        <w:ind w:left="360" w:hanging="360"/>
        <w:rPr>
          <w:rFonts w:cs="Arial"/>
          <w:sz w:val="16"/>
        </w:rPr>
      </w:pPr>
    </w:p>
    <w:p w:rsidR="00114B09" w:rsidRDefault="00114B09">
      <w:pPr>
        <w:ind w:left="360" w:hanging="360"/>
        <w:rPr>
          <w:rFonts w:cs="Arial"/>
        </w:rPr>
      </w:pPr>
      <w:r>
        <w:rPr>
          <w:rFonts w:cs="Arial"/>
        </w:rPr>
        <w:tab/>
      </w:r>
      <w:r>
        <w:rPr>
          <w:rFonts w:cs="Arial"/>
        </w:rPr>
        <w:tab/>
        <w:t>Exemples :</w:t>
      </w:r>
    </w:p>
    <w:p w:rsidR="00114B09" w:rsidRDefault="00114B09">
      <w:pPr>
        <w:ind w:left="360" w:hanging="360"/>
        <w:rPr>
          <w:rFonts w:cs="Arial"/>
        </w:rPr>
      </w:pPr>
      <w:r>
        <w:rPr>
          <w:rFonts w:cs="Arial"/>
        </w:rPr>
        <w:tab/>
      </w:r>
      <w:r>
        <w:rPr>
          <w:rFonts w:cs="Arial"/>
        </w:rPr>
        <w:tab/>
      </w:r>
      <w:r>
        <w:rPr>
          <w:rFonts w:cs="Arial"/>
        </w:rPr>
        <w:tab/>
      </w:r>
      <w:r>
        <w:rPr>
          <w:rFonts w:cs="Arial"/>
        </w:rPr>
        <w:tab/>
      </w:r>
      <w:r>
        <w:rPr>
          <w:rFonts w:cs="Arial"/>
        </w:rPr>
        <w:tab/>
        <w:t>30</w:t>
      </w:r>
      <w:r>
        <w:rPr>
          <w:rFonts w:cs="Arial"/>
          <w:u w:val="single"/>
        </w:rPr>
        <w:t>01</w:t>
      </w:r>
      <w:r>
        <w:rPr>
          <w:rFonts w:cs="Arial"/>
        </w:rPr>
        <w:t xml:space="preserve"> = actes de prêt;</w:t>
      </w:r>
    </w:p>
    <w:p w:rsidR="00114B09" w:rsidRDefault="00114B09">
      <w:pPr>
        <w:ind w:left="360" w:hanging="360"/>
        <w:rPr>
          <w:rFonts w:cs="Arial"/>
        </w:rPr>
      </w:pPr>
      <w:r>
        <w:rPr>
          <w:rFonts w:cs="Arial"/>
        </w:rPr>
        <w:tab/>
      </w:r>
      <w:r>
        <w:rPr>
          <w:rFonts w:cs="Arial"/>
        </w:rPr>
        <w:tab/>
      </w:r>
      <w:r>
        <w:rPr>
          <w:rFonts w:cs="Arial"/>
        </w:rPr>
        <w:tab/>
      </w:r>
      <w:r>
        <w:rPr>
          <w:rFonts w:cs="Arial"/>
        </w:rPr>
        <w:tab/>
      </w:r>
      <w:r>
        <w:rPr>
          <w:rFonts w:cs="Arial"/>
        </w:rPr>
        <w:tab/>
        <w:t>30</w:t>
      </w:r>
      <w:r>
        <w:rPr>
          <w:rFonts w:cs="Arial"/>
          <w:u w:val="single"/>
        </w:rPr>
        <w:t>14</w:t>
      </w:r>
      <w:r>
        <w:rPr>
          <w:rFonts w:cs="Arial"/>
        </w:rPr>
        <w:t xml:space="preserve"> = actes de garantie.</w:t>
      </w:r>
    </w:p>
    <w:p w:rsidR="00114B09" w:rsidRDefault="00114B09" w:rsidP="008333EB">
      <w:pPr>
        <w:spacing w:line="360" w:lineRule="auto"/>
        <w:rPr>
          <w:rFonts w:cs="Arial"/>
        </w:rPr>
      </w:pPr>
    </w:p>
    <w:p w:rsidR="00114B09" w:rsidRDefault="00114B09">
      <w:pPr>
        <w:ind w:left="360" w:hanging="360"/>
        <w:rPr>
          <w:rFonts w:cs="Arial"/>
        </w:rPr>
      </w:pPr>
      <w:r>
        <w:rPr>
          <w:rFonts w:cs="Arial"/>
        </w:rPr>
        <w:t>3-</w:t>
      </w:r>
      <w:r>
        <w:rPr>
          <w:rFonts w:cs="Arial"/>
        </w:rPr>
        <w:tab/>
      </w:r>
      <w:r>
        <w:rPr>
          <w:rFonts w:cs="Arial"/>
          <w:u w:val="single"/>
        </w:rPr>
        <w:t xml:space="preserve">Codes retenus comme identifiants selon </w:t>
      </w:r>
      <w:r>
        <w:rPr>
          <w:rFonts w:cs="Arial"/>
          <w:b/>
          <w:u w:val="single"/>
        </w:rPr>
        <w:t>la forme des actes</w:t>
      </w:r>
    </w:p>
    <w:p w:rsidR="00114B09" w:rsidRDefault="00114B09">
      <w:pPr>
        <w:ind w:left="360" w:hanging="360"/>
        <w:rPr>
          <w:rFonts w:cs="Arial"/>
        </w:rPr>
      </w:pPr>
    </w:p>
    <w:p w:rsidR="00114B09" w:rsidRDefault="00114B09">
      <w:pPr>
        <w:ind w:left="360" w:hanging="360"/>
        <w:rPr>
          <w:rFonts w:cs="Arial"/>
        </w:rPr>
      </w:pPr>
      <w:r>
        <w:rPr>
          <w:rFonts w:cs="Arial"/>
        </w:rPr>
        <w:tab/>
        <w:t>Il s'agit des chiffres 1, 2 ou 3 pour les actes notariés, et 4, 5 ou 6 pour les actes sous seing privé, étant le dernier chiffre incorporé aux identifiants de la catégorie de prêts et de la catégorie d'actes.</w:t>
      </w:r>
    </w:p>
    <w:p w:rsidR="00114B09" w:rsidRDefault="00114B09">
      <w:pPr>
        <w:ind w:left="360" w:hanging="360"/>
        <w:rPr>
          <w:rFonts w:cs="Arial"/>
          <w:sz w:val="16"/>
        </w:rPr>
      </w:pPr>
    </w:p>
    <w:p w:rsidR="00114B09" w:rsidRDefault="00114B09">
      <w:pPr>
        <w:ind w:left="360" w:hanging="360"/>
        <w:rPr>
          <w:rFonts w:cs="Arial"/>
        </w:rPr>
      </w:pPr>
      <w:r>
        <w:rPr>
          <w:rFonts w:cs="Arial"/>
        </w:rPr>
        <w:tab/>
      </w:r>
      <w:r>
        <w:rPr>
          <w:rFonts w:cs="Arial"/>
        </w:rPr>
        <w:tab/>
        <w:t>Exemples:</w:t>
      </w:r>
    </w:p>
    <w:p w:rsidR="00114B09" w:rsidRDefault="00114B09">
      <w:pPr>
        <w:ind w:left="360" w:hanging="360"/>
        <w:rPr>
          <w:rFonts w:cs="Arial"/>
        </w:rPr>
      </w:pPr>
      <w:r>
        <w:rPr>
          <w:rFonts w:cs="Arial"/>
        </w:rPr>
        <w:tab/>
      </w:r>
      <w:r>
        <w:rPr>
          <w:rFonts w:cs="Arial"/>
        </w:rPr>
        <w:tab/>
      </w:r>
      <w:r>
        <w:rPr>
          <w:rFonts w:cs="Arial"/>
        </w:rPr>
        <w:tab/>
      </w:r>
      <w:r>
        <w:rPr>
          <w:rFonts w:cs="Arial"/>
        </w:rPr>
        <w:tab/>
      </w:r>
      <w:r>
        <w:rPr>
          <w:rFonts w:cs="Arial"/>
        </w:rPr>
        <w:tab/>
        <w:t>300</w:t>
      </w:r>
      <w:r>
        <w:rPr>
          <w:rFonts w:cs="Arial"/>
          <w:u w:val="single"/>
        </w:rPr>
        <w:t>1</w:t>
      </w:r>
      <w:r>
        <w:rPr>
          <w:rFonts w:cs="Arial"/>
        </w:rPr>
        <w:t xml:space="preserve"> = acte de prêt notarié;</w:t>
      </w:r>
    </w:p>
    <w:p w:rsidR="00114B09" w:rsidRDefault="00114B09">
      <w:pPr>
        <w:ind w:left="360" w:hanging="360"/>
        <w:rPr>
          <w:rFonts w:cs="Arial"/>
        </w:rPr>
      </w:pPr>
      <w:r>
        <w:rPr>
          <w:rFonts w:cs="Arial"/>
        </w:rPr>
        <w:tab/>
      </w:r>
      <w:r>
        <w:rPr>
          <w:rFonts w:cs="Arial"/>
        </w:rPr>
        <w:tab/>
      </w:r>
      <w:r>
        <w:rPr>
          <w:rFonts w:cs="Arial"/>
        </w:rPr>
        <w:tab/>
      </w:r>
      <w:r>
        <w:rPr>
          <w:rFonts w:cs="Arial"/>
        </w:rPr>
        <w:tab/>
      </w:r>
      <w:r>
        <w:rPr>
          <w:rFonts w:cs="Arial"/>
        </w:rPr>
        <w:tab/>
        <w:t>301</w:t>
      </w:r>
      <w:r>
        <w:rPr>
          <w:rFonts w:cs="Arial"/>
          <w:u w:val="single"/>
        </w:rPr>
        <w:t>4</w:t>
      </w:r>
      <w:r>
        <w:rPr>
          <w:rFonts w:cs="Arial"/>
        </w:rPr>
        <w:t xml:space="preserve"> = acte de garantie sous seing privé.</w:t>
      </w:r>
    </w:p>
    <w:p w:rsidR="00114B09" w:rsidRDefault="00114B09">
      <w:pPr>
        <w:spacing w:line="360" w:lineRule="auto"/>
        <w:ind w:left="360" w:hanging="360"/>
        <w:jc w:val="left"/>
        <w:rPr>
          <w:rFonts w:cs="Arial"/>
          <w:sz w:val="16"/>
        </w:rPr>
      </w:pPr>
    </w:p>
    <w:p w:rsidR="00114B09" w:rsidRDefault="00114B09">
      <w:pPr>
        <w:ind w:left="360" w:hanging="360"/>
        <w:rPr>
          <w:rFonts w:cs="Arial"/>
        </w:rPr>
      </w:pPr>
      <w:r>
        <w:rPr>
          <w:rFonts w:cs="Arial"/>
        </w:rPr>
        <w:tab/>
        <w:t>Note : ces chiffres 1, 2 , 3 et 4, 5, 6 servent également à identifier les catégories de taux d’intérêt (voir l’article 5 ci-après).</w:t>
      </w:r>
    </w:p>
    <w:p w:rsidR="00744DA3" w:rsidRDefault="00744DA3">
      <w:pPr>
        <w:jc w:val="left"/>
        <w:rPr>
          <w:rFonts w:cs="Arial"/>
        </w:rPr>
      </w:pPr>
    </w:p>
    <w:p w:rsidR="00114B09" w:rsidRDefault="00114B09">
      <w:pPr>
        <w:ind w:left="360" w:hanging="360"/>
        <w:rPr>
          <w:rFonts w:cs="Arial"/>
        </w:rPr>
      </w:pPr>
      <w:r>
        <w:rPr>
          <w:rFonts w:cs="Arial"/>
        </w:rPr>
        <w:t>4-</w:t>
      </w:r>
      <w:r>
        <w:rPr>
          <w:rFonts w:cs="Arial"/>
        </w:rPr>
        <w:tab/>
      </w:r>
      <w:r>
        <w:rPr>
          <w:rFonts w:cs="Arial"/>
          <w:u w:val="single"/>
        </w:rPr>
        <w:t xml:space="preserve">Codes retenus comme identifiants selon </w:t>
      </w:r>
      <w:r>
        <w:rPr>
          <w:rFonts w:cs="Arial"/>
          <w:b/>
          <w:u w:val="single"/>
        </w:rPr>
        <w:t>le nombre de tranches de prêt</w:t>
      </w:r>
    </w:p>
    <w:p w:rsidR="00114B09" w:rsidRDefault="00114B09">
      <w:pPr>
        <w:ind w:left="360" w:hanging="360"/>
        <w:rPr>
          <w:rFonts w:cs="Arial"/>
          <w:sz w:val="16"/>
        </w:rPr>
      </w:pPr>
    </w:p>
    <w:p w:rsidR="00114B09" w:rsidRDefault="00114B09">
      <w:pPr>
        <w:ind w:left="360" w:hanging="360"/>
        <w:rPr>
          <w:rFonts w:cs="Arial"/>
        </w:rPr>
      </w:pPr>
      <w:r>
        <w:rPr>
          <w:rFonts w:cs="Arial"/>
        </w:rPr>
        <w:tab/>
        <w:t>Il s'agit des chiffres 1 à 3, précédés d'un point et suivis, selon le cas, du signe +, savoir :</w:t>
      </w:r>
    </w:p>
    <w:p w:rsidR="00114B09" w:rsidRDefault="00114B09">
      <w:pPr>
        <w:ind w:left="360" w:hanging="360"/>
        <w:rPr>
          <w:rFonts w:cs="Arial"/>
          <w:sz w:val="16"/>
        </w:rPr>
      </w:pPr>
    </w:p>
    <w:p w:rsidR="00114B09" w:rsidRDefault="00114B09">
      <w:pPr>
        <w:ind w:left="360" w:hanging="360"/>
        <w:rPr>
          <w:rFonts w:cs="Arial"/>
        </w:rPr>
      </w:pPr>
      <w:r>
        <w:rPr>
          <w:rFonts w:cs="Arial"/>
        </w:rPr>
        <w:tab/>
      </w:r>
      <w:r>
        <w:rPr>
          <w:rFonts w:cs="Arial"/>
        </w:rPr>
        <w:tab/>
        <w:t>.1     =</w:t>
      </w:r>
      <w:r>
        <w:rPr>
          <w:rFonts w:cs="Arial"/>
        </w:rPr>
        <w:tab/>
        <w:t>une tranche</w:t>
      </w:r>
    </w:p>
    <w:p w:rsidR="00114B09" w:rsidRDefault="00114B09">
      <w:pPr>
        <w:ind w:left="360" w:hanging="360"/>
        <w:rPr>
          <w:rFonts w:cs="Arial"/>
        </w:rPr>
      </w:pPr>
      <w:r>
        <w:rPr>
          <w:rFonts w:cs="Arial"/>
        </w:rPr>
        <w:tab/>
      </w:r>
      <w:r>
        <w:rPr>
          <w:rFonts w:cs="Arial"/>
        </w:rPr>
        <w:tab/>
        <w:t>.2     =</w:t>
      </w:r>
      <w:r>
        <w:rPr>
          <w:rFonts w:cs="Arial"/>
        </w:rPr>
        <w:tab/>
        <w:t>deux tranches</w:t>
      </w:r>
    </w:p>
    <w:p w:rsidR="00114B09" w:rsidRDefault="00114B09">
      <w:pPr>
        <w:ind w:left="360" w:hanging="360"/>
        <w:rPr>
          <w:rFonts w:cs="Arial"/>
        </w:rPr>
      </w:pPr>
      <w:r>
        <w:rPr>
          <w:rFonts w:cs="Arial"/>
        </w:rPr>
        <w:lastRenderedPageBreak/>
        <w:tab/>
      </w:r>
      <w:r>
        <w:rPr>
          <w:rFonts w:cs="Arial"/>
        </w:rPr>
        <w:tab/>
        <w:t>.2 +  =</w:t>
      </w:r>
      <w:r>
        <w:rPr>
          <w:rFonts w:cs="Arial"/>
        </w:rPr>
        <w:tab/>
        <w:t>deux tranches ou plus</w:t>
      </w:r>
    </w:p>
    <w:p w:rsidR="00114B09" w:rsidRDefault="00114B09">
      <w:pPr>
        <w:ind w:left="360" w:hanging="360"/>
        <w:rPr>
          <w:rFonts w:cs="Arial"/>
        </w:rPr>
      </w:pPr>
      <w:r>
        <w:rPr>
          <w:rFonts w:cs="Arial"/>
        </w:rPr>
        <w:tab/>
      </w:r>
      <w:r>
        <w:rPr>
          <w:rFonts w:cs="Arial"/>
        </w:rPr>
        <w:tab/>
        <w:t>.3 +  =</w:t>
      </w:r>
      <w:r>
        <w:rPr>
          <w:rFonts w:cs="Arial"/>
        </w:rPr>
        <w:tab/>
        <w:t xml:space="preserve">trois tranches ou plus, dont au moins une à taux avantage plus fixe ou variable et </w:t>
      </w:r>
      <w:r>
        <w:rPr>
          <w:rFonts w:cs="Arial"/>
        </w:rPr>
        <w:tab/>
      </w:r>
      <w:r>
        <w:rPr>
          <w:rFonts w:cs="Arial"/>
        </w:rPr>
        <w:tab/>
      </w:r>
      <w:r>
        <w:rPr>
          <w:rFonts w:cs="Arial"/>
        </w:rPr>
        <w:tab/>
        <w:t xml:space="preserve">au moins une autre à taux intérimaire, disposés à la suite des identifiants de la </w:t>
      </w:r>
      <w:r w:rsidR="001308BE">
        <w:rPr>
          <w:rFonts w:cs="Arial"/>
        </w:rPr>
        <w:br/>
      </w:r>
      <w:r>
        <w:rPr>
          <w:rFonts w:cs="Arial"/>
        </w:rPr>
        <w:tab/>
      </w:r>
      <w:r>
        <w:rPr>
          <w:rFonts w:cs="Arial"/>
        </w:rPr>
        <w:tab/>
      </w:r>
      <w:r>
        <w:rPr>
          <w:rFonts w:cs="Arial"/>
        </w:rPr>
        <w:tab/>
        <w:t>catégorie de prêts et de</w:t>
      </w:r>
      <w:r w:rsidR="001308BE">
        <w:rPr>
          <w:rFonts w:cs="Arial"/>
        </w:rPr>
        <w:t xml:space="preserve"> </w:t>
      </w:r>
      <w:r>
        <w:rPr>
          <w:rFonts w:cs="Arial"/>
        </w:rPr>
        <w:t>la forme de l'acte.</w:t>
      </w:r>
    </w:p>
    <w:p w:rsidR="00114B09" w:rsidRDefault="00114B09">
      <w:pPr>
        <w:ind w:left="360" w:hanging="360"/>
        <w:rPr>
          <w:rFonts w:cs="Arial"/>
          <w:sz w:val="16"/>
        </w:rPr>
      </w:pPr>
    </w:p>
    <w:p w:rsidR="00114B09" w:rsidRDefault="00114B09">
      <w:pPr>
        <w:ind w:left="360" w:hanging="360"/>
        <w:jc w:val="left"/>
        <w:rPr>
          <w:rFonts w:cs="Arial"/>
        </w:rPr>
      </w:pPr>
      <w:r>
        <w:rPr>
          <w:rFonts w:cs="Arial"/>
        </w:rPr>
        <w:tab/>
      </w:r>
      <w:r>
        <w:rPr>
          <w:rFonts w:cs="Arial"/>
        </w:rPr>
        <w:tab/>
        <w:t>Exemples:</w:t>
      </w:r>
    </w:p>
    <w:p w:rsidR="00114B09" w:rsidRDefault="00114B09">
      <w:pPr>
        <w:ind w:left="360" w:hanging="360"/>
        <w:rPr>
          <w:rFonts w:cs="Arial"/>
        </w:rPr>
      </w:pPr>
      <w:r>
        <w:rPr>
          <w:rFonts w:cs="Arial"/>
        </w:rPr>
        <w:tab/>
      </w:r>
      <w:r>
        <w:rPr>
          <w:rFonts w:cs="Arial"/>
        </w:rPr>
        <w:tab/>
      </w:r>
      <w:r>
        <w:rPr>
          <w:rFonts w:cs="Arial"/>
        </w:rPr>
        <w:tab/>
      </w:r>
      <w:r>
        <w:rPr>
          <w:rFonts w:cs="Arial"/>
        </w:rPr>
        <w:tab/>
      </w:r>
      <w:r>
        <w:rPr>
          <w:rFonts w:cs="Arial"/>
        </w:rPr>
        <w:tab/>
        <w:t>4001</w:t>
      </w:r>
      <w:r>
        <w:rPr>
          <w:rFonts w:cs="Arial"/>
          <w:u w:val="single"/>
        </w:rPr>
        <w:t>.1</w:t>
      </w:r>
      <w:r>
        <w:rPr>
          <w:rFonts w:cs="Arial"/>
        </w:rPr>
        <w:t xml:space="preserve">    =</w:t>
      </w:r>
      <w:r>
        <w:rPr>
          <w:rFonts w:cs="Arial"/>
        </w:rPr>
        <w:tab/>
        <w:t xml:space="preserve">prêt (notarié en anglais) - une tranche – taux avantage plus fixe </w:t>
      </w:r>
      <w:r w:rsidR="001308BE">
        <w:rPr>
          <w:rFonts w:cs="Arial"/>
        </w:rPr>
        <w:br/>
      </w:r>
      <w:r>
        <w:rPr>
          <w:rFonts w:cs="Arial"/>
        </w:rPr>
        <w:tab/>
      </w:r>
      <w:r>
        <w:rPr>
          <w:rFonts w:cs="Arial"/>
        </w:rPr>
        <w:tab/>
      </w:r>
      <w:r>
        <w:rPr>
          <w:rFonts w:cs="Arial"/>
        </w:rPr>
        <w:tab/>
      </w:r>
      <w:r>
        <w:rPr>
          <w:rFonts w:cs="Arial"/>
        </w:rPr>
        <w:tab/>
      </w:r>
      <w:r>
        <w:rPr>
          <w:rFonts w:cs="Arial"/>
        </w:rPr>
        <w:tab/>
      </w:r>
      <w:r>
        <w:rPr>
          <w:rFonts w:cs="Arial"/>
        </w:rPr>
        <w:tab/>
      </w:r>
      <w:r>
        <w:rPr>
          <w:rFonts w:cs="Arial"/>
        </w:rPr>
        <w:tab/>
        <w:t>ou variable</w:t>
      </w:r>
    </w:p>
    <w:p w:rsidR="00114B09" w:rsidRDefault="00114B09">
      <w:pPr>
        <w:ind w:left="360" w:hanging="360"/>
        <w:rPr>
          <w:rFonts w:cs="Arial"/>
        </w:rPr>
      </w:pPr>
      <w:r>
        <w:rPr>
          <w:rFonts w:cs="Arial"/>
        </w:rPr>
        <w:tab/>
      </w:r>
      <w:r>
        <w:rPr>
          <w:rFonts w:cs="Arial"/>
        </w:rPr>
        <w:tab/>
      </w:r>
      <w:r>
        <w:rPr>
          <w:rFonts w:cs="Arial"/>
        </w:rPr>
        <w:tab/>
      </w:r>
      <w:r>
        <w:rPr>
          <w:rFonts w:cs="Arial"/>
        </w:rPr>
        <w:tab/>
      </w:r>
      <w:r>
        <w:rPr>
          <w:rFonts w:cs="Arial"/>
        </w:rPr>
        <w:tab/>
        <w:t>4004</w:t>
      </w:r>
      <w:r>
        <w:rPr>
          <w:rFonts w:cs="Arial"/>
          <w:u w:val="single"/>
        </w:rPr>
        <w:t>.2 +</w:t>
      </w:r>
      <w:r>
        <w:rPr>
          <w:rFonts w:cs="Arial"/>
        </w:rPr>
        <w:t xml:space="preserve"> =</w:t>
      </w:r>
      <w:r>
        <w:rPr>
          <w:rFonts w:cs="Arial"/>
        </w:rPr>
        <w:tab/>
        <w:t xml:space="preserve">prêt (sous seing privé en anglais) - deux tranches ou plus - taux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avantage plus fixe ou variable.</w:t>
      </w:r>
    </w:p>
    <w:p w:rsidR="00114B09" w:rsidRDefault="00114B09">
      <w:pPr>
        <w:ind w:left="360" w:hanging="360"/>
        <w:rPr>
          <w:rFonts w:cs="Arial"/>
          <w:sz w:val="16"/>
        </w:rPr>
      </w:pPr>
    </w:p>
    <w:p w:rsidR="00114B09" w:rsidRDefault="00114B09">
      <w:pPr>
        <w:ind w:left="360" w:hanging="360"/>
        <w:rPr>
          <w:rFonts w:cs="Arial"/>
        </w:rPr>
      </w:pPr>
      <w:r>
        <w:rPr>
          <w:rFonts w:cs="Arial"/>
        </w:rPr>
        <w:tab/>
        <w:t>Note:  le signe + est utilisé pour indiquer une multiplicité de tranches.</w:t>
      </w:r>
    </w:p>
    <w:p w:rsidR="00114B09" w:rsidRDefault="00114B09">
      <w:pPr>
        <w:ind w:left="360" w:hanging="360"/>
        <w:rPr>
          <w:rFonts w:cs="Arial"/>
        </w:rPr>
      </w:pPr>
    </w:p>
    <w:p w:rsidR="00114B09" w:rsidRDefault="00114B09">
      <w:pPr>
        <w:ind w:left="360" w:hanging="360"/>
        <w:rPr>
          <w:rFonts w:cs="Arial"/>
          <w:b/>
        </w:rPr>
      </w:pPr>
      <w:r>
        <w:rPr>
          <w:rFonts w:cs="Arial"/>
        </w:rPr>
        <w:t>5-</w:t>
      </w:r>
      <w:r>
        <w:rPr>
          <w:rFonts w:cs="Arial"/>
        </w:rPr>
        <w:tab/>
      </w:r>
      <w:r>
        <w:rPr>
          <w:rFonts w:cs="Arial"/>
          <w:u w:val="single"/>
        </w:rPr>
        <w:t xml:space="preserve">Codes retenus comme identifiants selon </w:t>
      </w:r>
      <w:r>
        <w:rPr>
          <w:rFonts w:cs="Arial"/>
          <w:b/>
          <w:u w:val="single"/>
        </w:rPr>
        <w:t>les catégories de taux d'intérêt</w:t>
      </w:r>
    </w:p>
    <w:p w:rsidR="00114B09" w:rsidRDefault="00114B09">
      <w:pPr>
        <w:ind w:left="360" w:hanging="360"/>
        <w:rPr>
          <w:rFonts w:cs="Arial"/>
          <w:sz w:val="16"/>
        </w:rPr>
      </w:pPr>
    </w:p>
    <w:p w:rsidR="00114B09" w:rsidRDefault="00114B09">
      <w:pPr>
        <w:ind w:left="360" w:hanging="360"/>
        <w:rPr>
          <w:rFonts w:cs="Arial"/>
        </w:rPr>
      </w:pPr>
      <w:r>
        <w:rPr>
          <w:rFonts w:cs="Arial"/>
        </w:rPr>
        <w:tab/>
        <w:t>Il s'agit de l'un des chiffres retenus pour la forme des actes de prêt :</w:t>
      </w:r>
    </w:p>
    <w:p w:rsidR="00114B09" w:rsidRDefault="00114B09">
      <w:pPr>
        <w:ind w:left="360" w:hanging="360"/>
        <w:rPr>
          <w:rFonts w:cs="Arial"/>
          <w:sz w:val="16"/>
        </w:rPr>
      </w:pPr>
    </w:p>
    <w:p w:rsidR="00114B09" w:rsidRDefault="00114B09">
      <w:pPr>
        <w:numPr>
          <w:ilvl w:val="0"/>
          <w:numId w:val="1"/>
        </w:numPr>
        <w:rPr>
          <w:rFonts w:cs="Arial"/>
        </w:rPr>
      </w:pPr>
      <w:r>
        <w:rPr>
          <w:rFonts w:cs="Arial"/>
        </w:rPr>
        <w:t>prêt notarié ne comportant qu'une ou des tranches à taux avantage plus fixe ou variable;</w:t>
      </w:r>
    </w:p>
    <w:p w:rsidR="00114B09" w:rsidRDefault="00114B09">
      <w:pPr>
        <w:numPr>
          <w:ilvl w:val="0"/>
          <w:numId w:val="1"/>
        </w:numPr>
        <w:rPr>
          <w:rFonts w:cs="Arial"/>
        </w:rPr>
      </w:pPr>
      <w:r>
        <w:rPr>
          <w:rFonts w:cs="Arial"/>
        </w:rPr>
        <w:t>prêt notarié ne comportant qu'une ou des tranches à taux intérimaire;</w:t>
      </w:r>
    </w:p>
    <w:p w:rsidR="00114B09" w:rsidRDefault="00114B09">
      <w:pPr>
        <w:tabs>
          <w:tab w:val="left" w:pos="360"/>
          <w:tab w:val="left" w:pos="720"/>
          <w:tab w:val="left" w:pos="1080"/>
          <w:tab w:val="left" w:pos="1440"/>
          <w:tab w:val="left" w:pos="2088"/>
        </w:tabs>
        <w:rPr>
          <w:rFonts w:cs="Arial"/>
        </w:rPr>
      </w:pPr>
      <w:r>
        <w:rPr>
          <w:rFonts w:cs="Arial"/>
        </w:rPr>
        <w:tab/>
      </w:r>
      <w:r>
        <w:rPr>
          <w:rFonts w:cs="Arial"/>
        </w:rPr>
        <w:tab/>
      </w:r>
      <w:r>
        <w:rPr>
          <w:rFonts w:cs="Arial"/>
        </w:rPr>
        <w:tab/>
      </w:r>
      <w:r>
        <w:rPr>
          <w:rFonts w:cs="Arial"/>
        </w:rPr>
        <w:tab/>
        <w:t>.1a</w:t>
      </w:r>
      <w:r>
        <w:rPr>
          <w:rFonts w:cs="Arial"/>
        </w:rPr>
        <w:tab/>
        <w:t xml:space="preserve">prêt notarié ne comportant qu'une ou des tranches à taux intérimaire </w:t>
      </w:r>
    </w:p>
    <w:p w:rsidR="00114B09" w:rsidRDefault="00114B09">
      <w:pPr>
        <w:tabs>
          <w:tab w:val="left" w:pos="360"/>
          <w:tab w:val="left" w:pos="720"/>
          <w:tab w:val="left" w:pos="1080"/>
          <w:tab w:val="left" w:pos="1440"/>
          <w:tab w:val="left" w:pos="2088"/>
        </w:tabs>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t>(financement régulier)</w:t>
      </w:r>
    </w:p>
    <w:p w:rsidR="00114B09" w:rsidRDefault="00114B09">
      <w:pPr>
        <w:tabs>
          <w:tab w:val="left" w:pos="360"/>
          <w:tab w:val="left" w:pos="720"/>
          <w:tab w:val="left" w:pos="1080"/>
          <w:tab w:val="left" w:pos="1440"/>
          <w:tab w:val="left" w:pos="2088"/>
        </w:tabs>
        <w:rPr>
          <w:rFonts w:cs="Arial"/>
        </w:rPr>
      </w:pPr>
      <w:r>
        <w:rPr>
          <w:rFonts w:cs="Arial"/>
        </w:rPr>
        <w:tab/>
      </w:r>
      <w:r>
        <w:rPr>
          <w:rFonts w:cs="Arial"/>
        </w:rPr>
        <w:tab/>
      </w:r>
      <w:r>
        <w:rPr>
          <w:rFonts w:cs="Arial"/>
        </w:rPr>
        <w:tab/>
      </w:r>
      <w:r>
        <w:rPr>
          <w:rFonts w:cs="Arial"/>
        </w:rPr>
        <w:tab/>
        <w:t>.1b</w:t>
      </w:r>
      <w:r>
        <w:rPr>
          <w:rFonts w:cs="Arial"/>
        </w:rPr>
        <w:tab/>
        <w:t>prêt notarié ne comportant qu'une tranche à taux intérimaire</w:t>
      </w:r>
    </w:p>
    <w:p w:rsidR="00114B09" w:rsidRDefault="00114B09">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t>(financement temporaire - tranche 0 – durée maximum de 72 mois)</w:t>
      </w:r>
    </w:p>
    <w:p w:rsidR="00633EB9" w:rsidRDefault="003C3468">
      <w:pPr>
        <w:ind w:left="2160" w:hanging="720"/>
        <w:rPr>
          <w:rFonts w:cs="Arial"/>
        </w:rPr>
      </w:pPr>
      <w:r>
        <w:rPr>
          <w:rFonts w:cs="Arial"/>
        </w:rPr>
        <w:t>.1c</w:t>
      </w:r>
      <w:r>
        <w:rPr>
          <w:rFonts w:cs="Arial"/>
        </w:rPr>
        <w:tab/>
        <w:t>marge de crédit à l’investissement notarié à t</w:t>
      </w:r>
      <w:r w:rsidR="005C411B">
        <w:rPr>
          <w:rFonts w:cs="Arial"/>
        </w:rPr>
        <w:t>aux préférentiel majoré de 0,50 </w:t>
      </w:r>
      <w:r>
        <w:rPr>
          <w:rFonts w:cs="Arial"/>
        </w:rPr>
        <w:t>% l’an;</w:t>
      </w:r>
    </w:p>
    <w:p w:rsidR="00114B09" w:rsidRDefault="00114B09">
      <w:pPr>
        <w:numPr>
          <w:ilvl w:val="0"/>
          <w:numId w:val="1"/>
        </w:numPr>
        <w:rPr>
          <w:rFonts w:cs="Arial"/>
        </w:rPr>
      </w:pPr>
      <w:r>
        <w:rPr>
          <w:rFonts w:cs="Arial"/>
        </w:rPr>
        <w:t>prêt notarié comportant au moins une tranche à taux avantage plus fixe ou variable et au moins une tranche à taux intérimaire;</w:t>
      </w:r>
    </w:p>
    <w:p w:rsidR="00114B09" w:rsidRDefault="00114B09">
      <w:pPr>
        <w:numPr>
          <w:ilvl w:val="0"/>
          <w:numId w:val="1"/>
        </w:numPr>
        <w:rPr>
          <w:rFonts w:cs="Arial"/>
        </w:rPr>
      </w:pPr>
      <w:r>
        <w:rPr>
          <w:rFonts w:cs="Arial"/>
        </w:rPr>
        <w:t>prêt sous seing privé ne comportant qu'une ou des tranches à taux avantage plus fixe ou variable;</w:t>
      </w:r>
    </w:p>
    <w:p w:rsidR="00114B09" w:rsidRDefault="00114B09">
      <w:pPr>
        <w:numPr>
          <w:ilvl w:val="0"/>
          <w:numId w:val="1"/>
        </w:numPr>
        <w:rPr>
          <w:rFonts w:cs="Arial"/>
        </w:rPr>
      </w:pPr>
      <w:r>
        <w:rPr>
          <w:rFonts w:cs="Arial"/>
        </w:rPr>
        <w:t>prêt sous seing privé ne comportant qu'une ou des tranches à taux intérimaire;</w:t>
      </w:r>
    </w:p>
    <w:p w:rsidR="00114B09" w:rsidRDefault="00114B09">
      <w:pPr>
        <w:tabs>
          <w:tab w:val="left" w:pos="360"/>
          <w:tab w:val="left" w:pos="720"/>
          <w:tab w:val="left" w:pos="1080"/>
          <w:tab w:val="left" w:pos="1440"/>
          <w:tab w:val="left" w:pos="2088"/>
        </w:tabs>
        <w:rPr>
          <w:rFonts w:cs="Arial"/>
        </w:rPr>
      </w:pPr>
      <w:r>
        <w:rPr>
          <w:rFonts w:cs="Arial"/>
        </w:rPr>
        <w:tab/>
      </w:r>
      <w:r>
        <w:rPr>
          <w:rFonts w:cs="Arial"/>
        </w:rPr>
        <w:tab/>
      </w:r>
      <w:r>
        <w:rPr>
          <w:rFonts w:cs="Arial"/>
        </w:rPr>
        <w:tab/>
      </w:r>
      <w:r>
        <w:rPr>
          <w:rFonts w:cs="Arial"/>
        </w:rPr>
        <w:tab/>
        <w:t>.1a</w:t>
      </w:r>
      <w:r>
        <w:rPr>
          <w:rFonts w:cs="Arial"/>
        </w:rPr>
        <w:tab/>
        <w:t xml:space="preserve">prêt sous seing privé ne comportant qu'une ou des tranches à taux </w:t>
      </w:r>
    </w:p>
    <w:p w:rsidR="00114B09" w:rsidRDefault="00114B09">
      <w:pPr>
        <w:tabs>
          <w:tab w:val="left" w:pos="360"/>
          <w:tab w:val="left" w:pos="720"/>
          <w:tab w:val="left" w:pos="1080"/>
          <w:tab w:val="left" w:pos="1440"/>
          <w:tab w:val="left" w:pos="2088"/>
        </w:tabs>
        <w:rPr>
          <w:rFonts w:cs="Arial"/>
        </w:rPr>
      </w:pPr>
      <w:r>
        <w:rPr>
          <w:rFonts w:cs="Arial"/>
        </w:rPr>
        <w:tab/>
      </w:r>
      <w:r>
        <w:rPr>
          <w:rFonts w:cs="Arial"/>
        </w:rPr>
        <w:tab/>
      </w:r>
      <w:r>
        <w:rPr>
          <w:rFonts w:cs="Arial"/>
        </w:rPr>
        <w:tab/>
      </w:r>
      <w:r>
        <w:rPr>
          <w:rFonts w:cs="Arial"/>
        </w:rPr>
        <w:tab/>
      </w:r>
      <w:r>
        <w:rPr>
          <w:rFonts w:cs="Arial"/>
        </w:rPr>
        <w:tab/>
        <w:t xml:space="preserve">intérimaire </w:t>
      </w:r>
      <w:r>
        <w:rPr>
          <w:rFonts w:cs="Arial"/>
        </w:rPr>
        <w:tab/>
      </w:r>
      <w:r>
        <w:rPr>
          <w:rFonts w:cs="Arial"/>
        </w:rPr>
        <w:tab/>
        <w:t>(financement régulier)</w:t>
      </w:r>
    </w:p>
    <w:p w:rsidR="00114B09" w:rsidRDefault="00114B09">
      <w:pPr>
        <w:tabs>
          <w:tab w:val="left" w:pos="360"/>
          <w:tab w:val="left" w:pos="720"/>
          <w:tab w:val="left" w:pos="1080"/>
          <w:tab w:val="left" w:pos="1440"/>
          <w:tab w:val="left" w:pos="2088"/>
        </w:tabs>
        <w:rPr>
          <w:rFonts w:cs="Arial"/>
        </w:rPr>
      </w:pPr>
      <w:r>
        <w:rPr>
          <w:rFonts w:cs="Arial"/>
        </w:rPr>
        <w:tab/>
      </w:r>
      <w:r>
        <w:rPr>
          <w:rFonts w:cs="Arial"/>
        </w:rPr>
        <w:tab/>
      </w:r>
      <w:r>
        <w:rPr>
          <w:rFonts w:cs="Arial"/>
        </w:rPr>
        <w:tab/>
      </w:r>
      <w:r>
        <w:rPr>
          <w:rFonts w:cs="Arial"/>
        </w:rPr>
        <w:tab/>
        <w:t>.1b</w:t>
      </w:r>
      <w:r>
        <w:rPr>
          <w:rFonts w:cs="Arial"/>
        </w:rPr>
        <w:tab/>
        <w:t>prêt sous seing privé ne comportant qu'une tranche à taux intérimaire</w:t>
      </w:r>
    </w:p>
    <w:p w:rsidR="00114B09" w:rsidRDefault="00114B09">
      <w:pPr>
        <w:tabs>
          <w:tab w:val="left" w:pos="360"/>
          <w:tab w:val="left" w:pos="720"/>
          <w:tab w:val="left" w:pos="1080"/>
          <w:tab w:val="left" w:pos="1440"/>
          <w:tab w:val="left" w:pos="2088"/>
        </w:tabs>
        <w:rPr>
          <w:rFonts w:cs="Arial"/>
        </w:rPr>
      </w:pPr>
      <w:r>
        <w:rPr>
          <w:rFonts w:cs="Arial"/>
        </w:rPr>
        <w:tab/>
      </w:r>
      <w:r>
        <w:rPr>
          <w:rFonts w:cs="Arial"/>
        </w:rPr>
        <w:tab/>
      </w:r>
      <w:r>
        <w:rPr>
          <w:rFonts w:cs="Arial"/>
        </w:rPr>
        <w:tab/>
      </w:r>
      <w:r>
        <w:rPr>
          <w:rFonts w:cs="Arial"/>
        </w:rPr>
        <w:tab/>
      </w:r>
      <w:r>
        <w:rPr>
          <w:rFonts w:cs="Arial"/>
        </w:rPr>
        <w:tab/>
        <w:t>(financement temporaire - tranche 0 – durée maximum de 72 mois)</w:t>
      </w:r>
    </w:p>
    <w:p w:rsidR="00633EB9" w:rsidRDefault="003C3468">
      <w:pPr>
        <w:tabs>
          <w:tab w:val="left" w:pos="360"/>
          <w:tab w:val="left" w:pos="720"/>
          <w:tab w:val="left" w:pos="1080"/>
          <w:tab w:val="left" w:pos="1440"/>
          <w:tab w:val="left" w:pos="2088"/>
        </w:tabs>
        <w:ind w:left="2085" w:hanging="2085"/>
        <w:rPr>
          <w:rFonts w:cs="Arial"/>
        </w:rPr>
      </w:pPr>
      <w:r>
        <w:rPr>
          <w:rFonts w:cs="Arial"/>
        </w:rPr>
        <w:tab/>
      </w:r>
      <w:r>
        <w:rPr>
          <w:rFonts w:cs="Arial"/>
        </w:rPr>
        <w:tab/>
      </w:r>
      <w:r>
        <w:rPr>
          <w:rFonts w:cs="Arial"/>
        </w:rPr>
        <w:tab/>
      </w:r>
      <w:r>
        <w:rPr>
          <w:rFonts w:cs="Arial"/>
        </w:rPr>
        <w:tab/>
        <w:t>.1c</w:t>
      </w:r>
      <w:r>
        <w:rPr>
          <w:rFonts w:cs="Arial"/>
        </w:rPr>
        <w:tab/>
      </w:r>
      <w:r>
        <w:rPr>
          <w:rFonts w:cs="Arial"/>
        </w:rPr>
        <w:tab/>
        <w:t>marge de crédit à l’investissement sous seing privé à taux préférentiel majoré de 0,50 % l’an;</w:t>
      </w:r>
    </w:p>
    <w:p w:rsidR="00114B09" w:rsidRDefault="00114B09">
      <w:pPr>
        <w:numPr>
          <w:ilvl w:val="0"/>
          <w:numId w:val="1"/>
        </w:numPr>
        <w:rPr>
          <w:rFonts w:cs="Arial"/>
        </w:rPr>
      </w:pPr>
      <w:r>
        <w:rPr>
          <w:rFonts w:cs="Arial"/>
        </w:rPr>
        <w:t>prêt sous seing privé comportant au moins une tranche à taux avantage plus fixe ou variable et au moins une tranche à taux intérimaire.</w:t>
      </w:r>
    </w:p>
    <w:p w:rsidR="00114B09" w:rsidRDefault="00114B09">
      <w:pPr>
        <w:ind w:left="720"/>
        <w:rPr>
          <w:rFonts w:cs="Arial"/>
          <w:sz w:val="16"/>
        </w:rPr>
      </w:pPr>
    </w:p>
    <w:p w:rsidR="00114B09" w:rsidRDefault="00114B09">
      <w:pPr>
        <w:ind w:left="360" w:firstLine="360"/>
        <w:rPr>
          <w:rFonts w:cs="Arial"/>
        </w:rPr>
      </w:pPr>
      <w:r>
        <w:rPr>
          <w:rFonts w:cs="Arial"/>
        </w:rPr>
        <w:t>Exemples :</w:t>
      </w:r>
    </w:p>
    <w:p w:rsidR="00912904" w:rsidRDefault="00912904" w:rsidP="00912904">
      <w:pPr>
        <w:spacing w:line="120" w:lineRule="auto"/>
        <w:ind w:left="360" w:firstLine="360"/>
        <w:rPr>
          <w:rFonts w:cs="Arial"/>
        </w:rPr>
      </w:pPr>
    </w:p>
    <w:tbl>
      <w:tblPr>
        <w:tblW w:w="8190" w:type="dxa"/>
        <w:tblInd w:w="1728" w:type="dxa"/>
        <w:tblLook w:val="04A0" w:firstRow="1" w:lastRow="0" w:firstColumn="1" w:lastColumn="0" w:noHBand="0" w:noVBand="1"/>
      </w:tblPr>
      <w:tblGrid>
        <w:gridCol w:w="1350"/>
        <w:gridCol w:w="360"/>
        <w:gridCol w:w="6480"/>
      </w:tblGrid>
      <w:tr w:rsidR="00124FE8" w:rsidRPr="00912904" w:rsidTr="00A301FF">
        <w:tc>
          <w:tcPr>
            <w:tcW w:w="1350" w:type="dxa"/>
          </w:tcPr>
          <w:p w:rsidR="00912904" w:rsidRPr="00912904" w:rsidRDefault="00912904">
            <w:pPr>
              <w:rPr>
                <w:rFonts w:cs="Arial"/>
              </w:rPr>
            </w:pPr>
            <w:r w:rsidRPr="00912904">
              <w:rPr>
                <w:rFonts w:cs="Arial"/>
              </w:rPr>
              <w:t>300</w:t>
            </w:r>
            <w:r w:rsidRPr="00912904">
              <w:rPr>
                <w:rFonts w:cs="Arial"/>
                <w:u w:val="single"/>
              </w:rPr>
              <w:t>1</w:t>
            </w:r>
            <w:r w:rsidR="002F0A95">
              <w:rPr>
                <w:rFonts w:cs="Arial"/>
              </w:rPr>
              <w:t>.1.1</w:t>
            </w:r>
            <w:r w:rsidR="004E780D">
              <w:rPr>
                <w:rFonts w:cs="Arial"/>
              </w:rPr>
              <w:t>8</w:t>
            </w:r>
          </w:p>
        </w:tc>
        <w:tc>
          <w:tcPr>
            <w:tcW w:w="360" w:type="dxa"/>
          </w:tcPr>
          <w:p w:rsidR="00912904" w:rsidRPr="00912904" w:rsidRDefault="00912904">
            <w:pPr>
              <w:rPr>
                <w:rFonts w:cs="Arial"/>
              </w:rPr>
            </w:pPr>
            <w:r w:rsidRPr="00912904">
              <w:rPr>
                <w:rFonts w:cs="Arial"/>
              </w:rPr>
              <w:t>=</w:t>
            </w:r>
          </w:p>
        </w:tc>
        <w:tc>
          <w:tcPr>
            <w:tcW w:w="6480" w:type="dxa"/>
          </w:tcPr>
          <w:p w:rsidR="00912904" w:rsidRPr="00912904" w:rsidRDefault="00912904" w:rsidP="00A301FF">
            <w:pPr>
              <w:jc w:val="left"/>
              <w:rPr>
                <w:rFonts w:cs="Arial"/>
              </w:rPr>
            </w:pPr>
            <w:r w:rsidRPr="00912904">
              <w:rPr>
                <w:rFonts w:cs="Arial"/>
              </w:rPr>
              <w:t>prêt notarié - une tranche - taux avantage plus fixe ou variable</w:t>
            </w:r>
          </w:p>
        </w:tc>
      </w:tr>
      <w:tr w:rsidR="00124FE8" w:rsidRPr="00912904" w:rsidTr="00A301FF">
        <w:tc>
          <w:tcPr>
            <w:tcW w:w="1350" w:type="dxa"/>
          </w:tcPr>
          <w:p w:rsidR="00912904" w:rsidRPr="00912904" w:rsidRDefault="004E780D">
            <w:pPr>
              <w:rPr>
                <w:rFonts w:cs="Arial"/>
              </w:rPr>
            </w:pPr>
            <w:r>
              <w:rPr>
                <w:rFonts w:cs="Arial"/>
              </w:rPr>
              <w:t>3002.1a.18</w:t>
            </w:r>
          </w:p>
        </w:tc>
        <w:tc>
          <w:tcPr>
            <w:tcW w:w="360" w:type="dxa"/>
          </w:tcPr>
          <w:p w:rsidR="00912904" w:rsidRPr="00912904" w:rsidRDefault="00912904">
            <w:pPr>
              <w:rPr>
                <w:rFonts w:cs="Arial"/>
              </w:rPr>
            </w:pPr>
            <w:r w:rsidRPr="00912904">
              <w:rPr>
                <w:rFonts w:cs="Arial"/>
              </w:rPr>
              <w:t>=</w:t>
            </w:r>
          </w:p>
        </w:tc>
        <w:tc>
          <w:tcPr>
            <w:tcW w:w="6480" w:type="dxa"/>
          </w:tcPr>
          <w:p w:rsidR="00912904" w:rsidRDefault="00912904" w:rsidP="00A301FF">
            <w:pPr>
              <w:jc w:val="left"/>
              <w:rPr>
                <w:rFonts w:cs="Arial"/>
              </w:rPr>
            </w:pPr>
            <w:r w:rsidRPr="00912904">
              <w:rPr>
                <w:rFonts w:cs="Arial"/>
              </w:rPr>
              <w:t xml:space="preserve">prêt notarié - une tranche - taux </w:t>
            </w:r>
            <w:r w:rsidR="00124FE8">
              <w:rPr>
                <w:rFonts w:cs="Arial"/>
              </w:rPr>
              <w:t>intérimaire</w:t>
            </w:r>
          </w:p>
          <w:p w:rsidR="00A301FF" w:rsidRPr="00912904" w:rsidRDefault="00A301FF" w:rsidP="00A301FF">
            <w:pPr>
              <w:jc w:val="left"/>
              <w:rPr>
                <w:rFonts w:cs="Arial"/>
              </w:rPr>
            </w:pPr>
            <w:r>
              <w:rPr>
                <w:rFonts w:cs="Arial"/>
              </w:rPr>
              <w:t>(financement régulier)</w:t>
            </w:r>
          </w:p>
        </w:tc>
      </w:tr>
      <w:tr w:rsidR="00124FE8" w:rsidRPr="00912904" w:rsidTr="00A301FF">
        <w:tc>
          <w:tcPr>
            <w:tcW w:w="1350" w:type="dxa"/>
          </w:tcPr>
          <w:p w:rsidR="00912904" w:rsidRPr="00912904" w:rsidRDefault="004E780D">
            <w:pPr>
              <w:rPr>
                <w:rFonts w:cs="Arial"/>
              </w:rPr>
            </w:pPr>
            <w:r>
              <w:rPr>
                <w:rFonts w:cs="Arial"/>
              </w:rPr>
              <w:t>3002.1b.18</w:t>
            </w:r>
          </w:p>
        </w:tc>
        <w:tc>
          <w:tcPr>
            <w:tcW w:w="360" w:type="dxa"/>
          </w:tcPr>
          <w:p w:rsidR="00912904" w:rsidRPr="00912904" w:rsidRDefault="00912904">
            <w:pPr>
              <w:rPr>
                <w:rFonts w:cs="Arial"/>
              </w:rPr>
            </w:pPr>
            <w:r w:rsidRPr="00912904">
              <w:rPr>
                <w:rFonts w:cs="Arial"/>
              </w:rPr>
              <w:t>=</w:t>
            </w:r>
          </w:p>
        </w:tc>
        <w:tc>
          <w:tcPr>
            <w:tcW w:w="6480" w:type="dxa"/>
          </w:tcPr>
          <w:p w:rsidR="00124FE8" w:rsidRDefault="00912904" w:rsidP="00A301FF">
            <w:pPr>
              <w:ind w:hanging="18"/>
              <w:jc w:val="left"/>
              <w:rPr>
                <w:rFonts w:cs="Arial"/>
              </w:rPr>
            </w:pPr>
            <w:r w:rsidRPr="00912904">
              <w:rPr>
                <w:rFonts w:cs="Arial"/>
              </w:rPr>
              <w:t>prêt notarié - une tranche - taux intérimaire</w:t>
            </w:r>
          </w:p>
          <w:p w:rsidR="00912904" w:rsidRPr="00912904" w:rsidRDefault="00912904" w:rsidP="00A301FF">
            <w:pPr>
              <w:ind w:hanging="18"/>
              <w:jc w:val="left"/>
              <w:rPr>
                <w:rFonts w:cs="Arial"/>
              </w:rPr>
            </w:pPr>
            <w:r w:rsidRPr="00912904">
              <w:rPr>
                <w:rFonts w:cs="Arial"/>
              </w:rPr>
              <w:t>(financement temporaire - tranche 0)</w:t>
            </w:r>
          </w:p>
        </w:tc>
      </w:tr>
      <w:tr w:rsidR="00124FE8" w:rsidRPr="00912904" w:rsidTr="00A301FF">
        <w:tc>
          <w:tcPr>
            <w:tcW w:w="1350" w:type="dxa"/>
          </w:tcPr>
          <w:p w:rsidR="00912904" w:rsidRPr="00912904" w:rsidRDefault="002F0A95">
            <w:pPr>
              <w:rPr>
                <w:rFonts w:cs="Arial"/>
              </w:rPr>
            </w:pPr>
            <w:r>
              <w:rPr>
                <w:rFonts w:cs="Arial"/>
              </w:rPr>
              <w:t>3004.1.1</w:t>
            </w:r>
            <w:r w:rsidR="004E780D">
              <w:rPr>
                <w:rFonts w:cs="Arial"/>
              </w:rPr>
              <w:t>8</w:t>
            </w:r>
          </w:p>
        </w:tc>
        <w:tc>
          <w:tcPr>
            <w:tcW w:w="360" w:type="dxa"/>
          </w:tcPr>
          <w:p w:rsidR="00912904" w:rsidRPr="00912904" w:rsidRDefault="00912904">
            <w:pPr>
              <w:rPr>
                <w:rFonts w:cs="Arial"/>
              </w:rPr>
            </w:pPr>
            <w:r w:rsidRPr="00912904">
              <w:rPr>
                <w:rFonts w:cs="Arial"/>
              </w:rPr>
              <w:t>=</w:t>
            </w:r>
          </w:p>
        </w:tc>
        <w:tc>
          <w:tcPr>
            <w:tcW w:w="6480" w:type="dxa"/>
          </w:tcPr>
          <w:p w:rsidR="00912904" w:rsidRPr="00912904" w:rsidRDefault="00912904" w:rsidP="00A301FF">
            <w:pPr>
              <w:ind w:hanging="18"/>
              <w:jc w:val="left"/>
              <w:rPr>
                <w:rFonts w:cs="Arial"/>
              </w:rPr>
            </w:pPr>
            <w:r w:rsidRPr="00912904">
              <w:rPr>
                <w:rFonts w:cs="Arial"/>
              </w:rPr>
              <w:t>prêt sous seing privé – une tranche - taux avantage plus fixe ou variable</w:t>
            </w:r>
          </w:p>
        </w:tc>
      </w:tr>
      <w:tr w:rsidR="00124FE8" w:rsidRPr="00912904" w:rsidTr="00A301FF">
        <w:tc>
          <w:tcPr>
            <w:tcW w:w="1350" w:type="dxa"/>
          </w:tcPr>
          <w:p w:rsidR="00912904" w:rsidRPr="00912904" w:rsidRDefault="004E780D">
            <w:pPr>
              <w:rPr>
                <w:rFonts w:cs="Arial"/>
              </w:rPr>
            </w:pPr>
            <w:r>
              <w:rPr>
                <w:rFonts w:cs="Arial"/>
              </w:rPr>
              <w:t>3005.1a.18</w:t>
            </w:r>
          </w:p>
        </w:tc>
        <w:tc>
          <w:tcPr>
            <w:tcW w:w="360" w:type="dxa"/>
          </w:tcPr>
          <w:p w:rsidR="00912904" w:rsidRPr="00912904" w:rsidRDefault="00912904">
            <w:pPr>
              <w:rPr>
                <w:rFonts w:cs="Arial"/>
              </w:rPr>
            </w:pPr>
          </w:p>
        </w:tc>
        <w:tc>
          <w:tcPr>
            <w:tcW w:w="6480" w:type="dxa"/>
          </w:tcPr>
          <w:p w:rsidR="00912904" w:rsidRPr="00912904" w:rsidRDefault="00912904" w:rsidP="00A301FF">
            <w:pPr>
              <w:ind w:left="360" w:hanging="360"/>
              <w:jc w:val="left"/>
              <w:rPr>
                <w:rFonts w:cs="Arial"/>
              </w:rPr>
            </w:pPr>
            <w:r w:rsidRPr="00912904">
              <w:rPr>
                <w:rFonts w:cs="Arial"/>
              </w:rPr>
              <w:t>prêt sous seing privé - une tranche - taux intérimaire</w:t>
            </w:r>
          </w:p>
          <w:p w:rsidR="00912904" w:rsidRPr="00912904" w:rsidRDefault="00912904" w:rsidP="00A301FF">
            <w:pPr>
              <w:ind w:left="360" w:hanging="360"/>
              <w:jc w:val="left"/>
              <w:rPr>
                <w:rFonts w:cs="Arial"/>
              </w:rPr>
            </w:pPr>
            <w:r w:rsidRPr="00912904">
              <w:rPr>
                <w:rFonts w:cs="Arial"/>
              </w:rPr>
              <w:t>(financement régulier)</w:t>
            </w:r>
          </w:p>
        </w:tc>
      </w:tr>
      <w:tr w:rsidR="00124FE8" w:rsidRPr="00912904" w:rsidTr="00744DA3">
        <w:trPr>
          <w:trHeight w:val="522"/>
        </w:trPr>
        <w:tc>
          <w:tcPr>
            <w:tcW w:w="1350" w:type="dxa"/>
          </w:tcPr>
          <w:p w:rsidR="00912904" w:rsidRPr="00912904" w:rsidRDefault="004E780D">
            <w:pPr>
              <w:rPr>
                <w:rFonts w:cs="Arial"/>
              </w:rPr>
            </w:pPr>
            <w:r>
              <w:rPr>
                <w:rFonts w:cs="Arial"/>
              </w:rPr>
              <w:t>3005.1b.18</w:t>
            </w:r>
          </w:p>
        </w:tc>
        <w:tc>
          <w:tcPr>
            <w:tcW w:w="360" w:type="dxa"/>
          </w:tcPr>
          <w:p w:rsidR="00912904" w:rsidRPr="00912904" w:rsidRDefault="00912904">
            <w:pPr>
              <w:rPr>
                <w:rFonts w:cs="Arial"/>
              </w:rPr>
            </w:pPr>
            <w:r w:rsidRPr="00912904">
              <w:rPr>
                <w:rFonts w:cs="Arial"/>
              </w:rPr>
              <w:t>=</w:t>
            </w:r>
          </w:p>
        </w:tc>
        <w:tc>
          <w:tcPr>
            <w:tcW w:w="6480" w:type="dxa"/>
          </w:tcPr>
          <w:p w:rsidR="00912904" w:rsidRDefault="00912904" w:rsidP="00A301FF">
            <w:pPr>
              <w:ind w:left="-18"/>
              <w:jc w:val="left"/>
              <w:rPr>
                <w:rFonts w:cs="Arial"/>
              </w:rPr>
            </w:pPr>
            <w:r w:rsidRPr="00912904">
              <w:rPr>
                <w:rFonts w:cs="Arial"/>
              </w:rPr>
              <w:t>prêt sous seing privé - une tranche - taux intérimaire (financement temporaire - tranche 0)</w:t>
            </w:r>
          </w:p>
          <w:p w:rsidR="00D1381B" w:rsidRPr="00912904" w:rsidRDefault="00D1381B" w:rsidP="00A301FF">
            <w:pPr>
              <w:ind w:left="-18"/>
              <w:jc w:val="left"/>
              <w:rPr>
                <w:rFonts w:cs="Arial"/>
              </w:rPr>
            </w:pPr>
          </w:p>
        </w:tc>
      </w:tr>
    </w:tbl>
    <w:p w:rsidR="00744DA3" w:rsidRDefault="00744DA3">
      <w:pPr>
        <w:ind w:left="360" w:hanging="360"/>
        <w:rPr>
          <w:rFonts w:cs="Arial"/>
        </w:rPr>
      </w:pPr>
    </w:p>
    <w:p w:rsidR="00114B09" w:rsidRDefault="00114B09">
      <w:pPr>
        <w:ind w:left="360" w:hanging="360"/>
        <w:rPr>
          <w:rFonts w:cs="Arial"/>
        </w:rPr>
      </w:pPr>
      <w:r>
        <w:rPr>
          <w:rFonts w:cs="Arial"/>
        </w:rPr>
        <w:lastRenderedPageBreak/>
        <w:t>6-</w:t>
      </w:r>
      <w:r>
        <w:rPr>
          <w:rFonts w:cs="Arial"/>
        </w:rPr>
        <w:tab/>
      </w:r>
      <w:r>
        <w:rPr>
          <w:rFonts w:cs="Arial"/>
          <w:u w:val="single"/>
        </w:rPr>
        <w:t xml:space="preserve">Codes retenus comme identifiants selon </w:t>
      </w:r>
      <w:r>
        <w:rPr>
          <w:rFonts w:cs="Arial"/>
          <w:b/>
          <w:u w:val="single"/>
        </w:rPr>
        <w:t>les objets des garanties</w:t>
      </w:r>
    </w:p>
    <w:p w:rsidR="00114B09" w:rsidRDefault="00114B09">
      <w:pPr>
        <w:ind w:left="360" w:hanging="360"/>
        <w:rPr>
          <w:rFonts w:cs="Arial"/>
          <w:sz w:val="16"/>
        </w:rPr>
      </w:pPr>
    </w:p>
    <w:p w:rsidR="00114B09" w:rsidRDefault="00114B09">
      <w:pPr>
        <w:ind w:left="360" w:hanging="360"/>
        <w:rPr>
          <w:rFonts w:cs="Arial"/>
        </w:rPr>
      </w:pPr>
      <w:r>
        <w:rPr>
          <w:rFonts w:cs="Arial"/>
        </w:rPr>
        <w:tab/>
        <w:t>Il s'agit des chiffres 4 à 10 précédés d'un point :</w:t>
      </w:r>
    </w:p>
    <w:p w:rsidR="00114B09" w:rsidRDefault="00114B09" w:rsidP="00C20A34">
      <w:pPr>
        <w:tabs>
          <w:tab w:val="left" w:pos="1080"/>
        </w:tabs>
        <w:ind w:left="1080" w:hanging="720"/>
        <w:rPr>
          <w:rFonts w:cs="Arial"/>
          <w:sz w:val="16"/>
        </w:rPr>
      </w:pPr>
    </w:p>
    <w:tbl>
      <w:tblPr>
        <w:tblW w:w="0" w:type="auto"/>
        <w:tblInd w:w="288" w:type="dxa"/>
        <w:tblLayout w:type="fixed"/>
        <w:tblLook w:val="04A0" w:firstRow="1" w:lastRow="0" w:firstColumn="1" w:lastColumn="0" w:noHBand="0" w:noVBand="1"/>
      </w:tblPr>
      <w:tblGrid>
        <w:gridCol w:w="540"/>
        <w:gridCol w:w="360"/>
        <w:gridCol w:w="8388"/>
      </w:tblGrid>
      <w:tr w:rsidR="001B6E4B" w:rsidRPr="00912904" w:rsidTr="00912904">
        <w:tc>
          <w:tcPr>
            <w:tcW w:w="540" w:type="dxa"/>
          </w:tcPr>
          <w:p w:rsidR="001B6E4B" w:rsidRPr="00912904" w:rsidRDefault="001B6E4B" w:rsidP="00912904">
            <w:pPr>
              <w:tabs>
                <w:tab w:val="left" w:pos="900"/>
              </w:tabs>
              <w:jc w:val="right"/>
              <w:rPr>
                <w:rFonts w:cs="Arial"/>
              </w:rPr>
            </w:pPr>
            <w:r w:rsidRPr="00912904">
              <w:rPr>
                <w:rFonts w:cs="Arial"/>
              </w:rPr>
              <w:t>.4</w:t>
            </w:r>
          </w:p>
        </w:tc>
        <w:tc>
          <w:tcPr>
            <w:tcW w:w="360" w:type="dxa"/>
          </w:tcPr>
          <w:p w:rsidR="001B6E4B" w:rsidRPr="00912904" w:rsidRDefault="001B6E4B" w:rsidP="00912904">
            <w:pPr>
              <w:tabs>
                <w:tab w:val="left" w:pos="900"/>
              </w:tabs>
              <w:rPr>
                <w:rFonts w:cs="Arial"/>
              </w:rPr>
            </w:pPr>
            <w:r w:rsidRPr="00912904">
              <w:rPr>
                <w:rFonts w:cs="Arial"/>
              </w:rPr>
              <w:t>=</w:t>
            </w:r>
          </w:p>
        </w:tc>
        <w:tc>
          <w:tcPr>
            <w:tcW w:w="8388" w:type="dxa"/>
          </w:tcPr>
          <w:p w:rsidR="001B6E4B" w:rsidRPr="00912904" w:rsidRDefault="001B6E4B" w:rsidP="00912904">
            <w:pPr>
              <w:tabs>
                <w:tab w:val="left" w:pos="900"/>
              </w:tabs>
              <w:rPr>
                <w:rFonts w:cs="Arial"/>
              </w:rPr>
            </w:pPr>
            <w:r w:rsidRPr="00912904">
              <w:rPr>
                <w:rFonts w:cs="Arial"/>
              </w:rPr>
              <w:t>garantie immobilière;</w:t>
            </w:r>
          </w:p>
        </w:tc>
      </w:tr>
      <w:tr w:rsidR="001B6E4B" w:rsidRPr="00912904" w:rsidTr="00912904">
        <w:tc>
          <w:tcPr>
            <w:tcW w:w="540" w:type="dxa"/>
          </w:tcPr>
          <w:p w:rsidR="001B6E4B" w:rsidRPr="00912904" w:rsidRDefault="001B6E4B" w:rsidP="00912904">
            <w:pPr>
              <w:tabs>
                <w:tab w:val="left" w:pos="900"/>
              </w:tabs>
              <w:jc w:val="right"/>
              <w:rPr>
                <w:rFonts w:cs="Arial"/>
              </w:rPr>
            </w:pPr>
            <w:r w:rsidRPr="00912904">
              <w:rPr>
                <w:rFonts w:cs="Arial"/>
              </w:rPr>
              <w:t>.5</w:t>
            </w:r>
          </w:p>
        </w:tc>
        <w:tc>
          <w:tcPr>
            <w:tcW w:w="360" w:type="dxa"/>
          </w:tcPr>
          <w:p w:rsidR="001B6E4B" w:rsidRPr="00912904" w:rsidRDefault="001B6E4B" w:rsidP="00912904">
            <w:pPr>
              <w:tabs>
                <w:tab w:val="left" w:pos="900"/>
              </w:tabs>
              <w:rPr>
                <w:rFonts w:cs="Arial"/>
              </w:rPr>
            </w:pPr>
            <w:r w:rsidRPr="00912904">
              <w:rPr>
                <w:rFonts w:cs="Arial"/>
              </w:rPr>
              <w:t>=</w:t>
            </w:r>
          </w:p>
        </w:tc>
        <w:tc>
          <w:tcPr>
            <w:tcW w:w="8388" w:type="dxa"/>
          </w:tcPr>
          <w:p w:rsidR="001B6E4B" w:rsidRPr="00912904" w:rsidRDefault="001B6E4B" w:rsidP="00912904">
            <w:pPr>
              <w:tabs>
                <w:tab w:val="left" w:pos="900"/>
              </w:tabs>
              <w:rPr>
                <w:rFonts w:cs="Arial"/>
              </w:rPr>
            </w:pPr>
            <w:r w:rsidRPr="00912904">
              <w:rPr>
                <w:rFonts w:cs="Arial"/>
              </w:rPr>
              <w:t>garantie mobilière sans quota;</w:t>
            </w:r>
          </w:p>
        </w:tc>
      </w:tr>
      <w:tr w:rsidR="001B6E4B" w:rsidRPr="00912904" w:rsidTr="00912904">
        <w:tc>
          <w:tcPr>
            <w:tcW w:w="540" w:type="dxa"/>
          </w:tcPr>
          <w:p w:rsidR="001B6E4B" w:rsidRPr="00912904" w:rsidRDefault="001B6E4B" w:rsidP="00912904">
            <w:pPr>
              <w:tabs>
                <w:tab w:val="left" w:pos="900"/>
              </w:tabs>
              <w:jc w:val="right"/>
              <w:rPr>
                <w:rFonts w:cs="Arial"/>
              </w:rPr>
            </w:pPr>
            <w:r w:rsidRPr="00912904">
              <w:rPr>
                <w:rFonts w:cs="Arial"/>
              </w:rPr>
              <w:t>.6</w:t>
            </w:r>
          </w:p>
        </w:tc>
        <w:tc>
          <w:tcPr>
            <w:tcW w:w="360" w:type="dxa"/>
          </w:tcPr>
          <w:p w:rsidR="001B6E4B" w:rsidRPr="00912904" w:rsidRDefault="001B6E4B" w:rsidP="00912904">
            <w:pPr>
              <w:tabs>
                <w:tab w:val="left" w:pos="900"/>
              </w:tabs>
              <w:rPr>
                <w:rFonts w:cs="Arial"/>
              </w:rPr>
            </w:pPr>
            <w:r w:rsidRPr="00912904">
              <w:rPr>
                <w:rFonts w:cs="Arial"/>
              </w:rPr>
              <w:t>=</w:t>
            </w:r>
          </w:p>
        </w:tc>
        <w:tc>
          <w:tcPr>
            <w:tcW w:w="8388" w:type="dxa"/>
          </w:tcPr>
          <w:p w:rsidR="001B6E4B" w:rsidRPr="00912904" w:rsidRDefault="001B6E4B" w:rsidP="00912904">
            <w:pPr>
              <w:tabs>
                <w:tab w:val="left" w:pos="900"/>
              </w:tabs>
              <w:rPr>
                <w:rFonts w:cs="Arial"/>
              </w:rPr>
            </w:pPr>
            <w:r w:rsidRPr="00912904">
              <w:rPr>
                <w:rFonts w:cs="Arial"/>
              </w:rPr>
              <w:t>garantie par quota;</w:t>
            </w:r>
          </w:p>
        </w:tc>
      </w:tr>
      <w:tr w:rsidR="001B6E4B" w:rsidRPr="00912904" w:rsidTr="00912904">
        <w:tc>
          <w:tcPr>
            <w:tcW w:w="540" w:type="dxa"/>
          </w:tcPr>
          <w:p w:rsidR="001B6E4B" w:rsidRPr="00912904" w:rsidRDefault="001B6E4B" w:rsidP="00912904">
            <w:pPr>
              <w:tabs>
                <w:tab w:val="left" w:pos="900"/>
              </w:tabs>
              <w:jc w:val="right"/>
              <w:rPr>
                <w:rFonts w:cs="Arial"/>
              </w:rPr>
            </w:pPr>
            <w:r w:rsidRPr="00912904">
              <w:rPr>
                <w:rFonts w:cs="Arial"/>
              </w:rPr>
              <w:t>.7</w:t>
            </w:r>
          </w:p>
        </w:tc>
        <w:tc>
          <w:tcPr>
            <w:tcW w:w="360" w:type="dxa"/>
          </w:tcPr>
          <w:p w:rsidR="001B6E4B" w:rsidRPr="00912904" w:rsidRDefault="001B6E4B" w:rsidP="00912904">
            <w:pPr>
              <w:tabs>
                <w:tab w:val="left" w:pos="900"/>
              </w:tabs>
              <w:rPr>
                <w:rFonts w:cs="Arial"/>
              </w:rPr>
            </w:pPr>
            <w:r w:rsidRPr="00912904">
              <w:rPr>
                <w:rFonts w:cs="Arial"/>
              </w:rPr>
              <w:t>=</w:t>
            </w:r>
          </w:p>
        </w:tc>
        <w:tc>
          <w:tcPr>
            <w:tcW w:w="8388" w:type="dxa"/>
          </w:tcPr>
          <w:p w:rsidR="001B6E4B" w:rsidRPr="00912904" w:rsidRDefault="001B6E4B" w:rsidP="00912904">
            <w:pPr>
              <w:tabs>
                <w:tab w:val="left" w:pos="900"/>
              </w:tabs>
              <w:rPr>
                <w:rFonts w:cs="Arial"/>
              </w:rPr>
            </w:pPr>
            <w:r w:rsidRPr="00912904">
              <w:rPr>
                <w:rFonts w:cs="Arial"/>
              </w:rPr>
              <w:t>garantie sur les paies de lait, lorsque le débiteur de la créance est la Fédération des producteurs de lait;</w:t>
            </w:r>
          </w:p>
        </w:tc>
      </w:tr>
      <w:tr w:rsidR="001B6E4B" w:rsidRPr="00912904" w:rsidTr="00912904">
        <w:tc>
          <w:tcPr>
            <w:tcW w:w="540" w:type="dxa"/>
          </w:tcPr>
          <w:p w:rsidR="001B6E4B" w:rsidRPr="00912904" w:rsidRDefault="001B6E4B" w:rsidP="00912904">
            <w:pPr>
              <w:tabs>
                <w:tab w:val="left" w:pos="900"/>
              </w:tabs>
              <w:jc w:val="right"/>
              <w:rPr>
                <w:rFonts w:cs="Arial"/>
              </w:rPr>
            </w:pPr>
            <w:r w:rsidRPr="00912904">
              <w:rPr>
                <w:rFonts w:cs="Arial"/>
              </w:rPr>
              <w:t>.8</w:t>
            </w:r>
          </w:p>
        </w:tc>
        <w:tc>
          <w:tcPr>
            <w:tcW w:w="360" w:type="dxa"/>
          </w:tcPr>
          <w:p w:rsidR="001B6E4B" w:rsidRPr="00912904" w:rsidRDefault="001B6E4B" w:rsidP="00912904">
            <w:pPr>
              <w:tabs>
                <w:tab w:val="left" w:pos="900"/>
              </w:tabs>
              <w:rPr>
                <w:rFonts w:cs="Arial"/>
              </w:rPr>
            </w:pPr>
            <w:r w:rsidRPr="00912904">
              <w:rPr>
                <w:rFonts w:cs="Arial"/>
              </w:rPr>
              <w:t>=</w:t>
            </w:r>
          </w:p>
        </w:tc>
        <w:tc>
          <w:tcPr>
            <w:tcW w:w="8388" w:type="dxa"/>
          </w:tcPr>
          <w:p w:rsidR="001B6E4B" w:rsidRPr="00912904" w:rsidRDefault="001B6E4B" w:rsidP="00912904">
            <w:pPr>
              <w:tabs>
                <w:tab w:val="left" w:pos="900"/>
              </w:tabs>
              <w:rPr>
                <w:rFonts w:cs="Arial"/>
              </w:rPr>
            </w:pPr>
            <w:r w:rsidRPr="00912904">
              <w:rPr>
                <w:rFonts w:cs="Arial"/>
              </w:rPr>
              <w:t>sur les paies de lait, lorsque le débiteur de la créance est une coopérative;</w:t>
            </w:r>
          </w:p>
        </w:tc>
      </w:tr>
      <w:tr w:rsidR="001B6E4B" w:rsidRPr="00912904" w:rsidTr="00912904">
        <w:tc>
          <w:tcPr>
            <w:tcW w:w="540" w:type="dxa"/>
          </w:tcPr>
          <w:p w:rsidR="001B6E4B" w:rsidRPr="00912904" w:rsidRDefault="001B6E4B" w:rsidP="00912904">
            <w:pPr>
              <w:tabs>
                <w:tab w:val="left" w:pos="900"/>
              </w:tabs>
              <w:jc w:val="right"/>
              <w:rPr>
                <w:rFonts w:cs="Arial"/>
              </w:rPr>
            </w:pPr>
            <w:r w:rsidRPr="00912904">
              <w:rPr>
                <w:rFonts w:cs="Arial"/>
              </w:rPr>
              <w:t>.9</w:t>
            </w:r>
          </w:p>
        </w:tc>
        <w:tc>
          <w:tcPr>
            <w:tcW w:w="360" w:type="dxa"/>
          </w:tcPr>
          <w:p w:rsidR="001B6E4B" w:rsidRPr="00912904" w:rsidRDefault="001B6E4B" w:rsidP="00912904">
            <w:pPr>
              <w:tabs>
                <w:tab w:val="left" w:pos="900"/>
              </w:tabs>
              <w:rPr>
                <w:rFonts w:cs="Arial"/>
              </w:rPr>
            </w:pPr>
            <w:r w:rsidRPr="00912904">
              <w:rPr>
                <w:rFonts w:cs="Arial"/>
              </w:rPr>
              <w:t>=</w:t>
            </w:r>
          </w:p>
        </w:tc>
        <w:tc>
          <w:tcPr>
            <w:tcW w:w="8388" w:type="dxa"/>
          </w:tcPr>
          <w:p w:rsidR="001B6E4B" w:rsidRPr="00912904" w:rsidRDefault="001B6E4B" w:rsidP="00912904">
            <w:pPr>
              <w:tabs>
                <w:tab w:val="left" w:pos="900"/>
              </w:tabs>
              <w:rPr>
                <w:rFonts w:cs="Arial"/>
              </w:rPr>
            </w:pPr>
            <w:r w:rsidRPr="00912904">
              <w:rPr>
                <w:rFonts w:cs="Arial"/>
              </w:rPr>
              <w:t>garantie sur autres créances;</w:t>
            </w:r>
          </w:p>
        </w:tc>
      </w:tr>
      <w:tr w:rsidR="001B6E4B" w:rsidRPr="00912904" w:rsidTr="00912904">
        <w:tc>
          <w:tcPr>
            <w:tcW w:w="540" w:type="dxa"/>
          </w:tcPr>
          <w:p w:rsidR="001B6E4B" w:rsidRPr="00912904" w:rsidRDefault="001B6E4B" w:rsidP="00912904">
            <w:pPr>
              <w:tabs>
                <w:tab w:val="left" w:pos="900"/>
              </w:tabs>
              <w:jc w:val="right"/>
              <w:rPr>
                <w:rFonts w:cs="Arial"/>
              </w:rPr>
            </w:pPr>
            <w:r w:rsidRPr="00912904">
              <w:rPr>
                <w:rFonts w:cs="Arial"/>
              </w:rPr>
              <w:t>.10</w:t>
            </w:r>
          </w:p>
        </w:tc>
        <w:tc>
          <w:tcPr>
            <w:tcW w:w="360" w:type="dxa"/>
          </w:tcPr>
          <w:p w:rsidR="001B6E4B" w:rsidRPr="00912904" w:rsidRDefault="001B6E4B" w:rsidP="00912904">
            <w:pPr>
              <w:tabs>
                <w:tab w:val="left" w:pos="900"/>
              </w:tabs>
              <w:rPr>
                <w:rFonts w:cs="Arial"/>
              </w:rPr>
            </w:pPr>
            <w:r w:rsidRPr="00912904">
              <w:rPr>
                <w:rFonts w:cs="Arial"/>
              </w:rPr>
              <w:t>=</w:t>
            </w:r>
          </w:p>
        </w:tc>
        <w:tc>
          <w:tcPr>
            <w:tcW w:w="8388" w:type="dxa"/>
          </w:tcPr>
          <w:p w:rsidR="001B6E4B" w:rsidRPr="00912904" w:rsidRDefault="001B6E4B" w:rsidP="00912904">
            <w:pPr>
              <w:tabs>
                <w:tab w:val="left" w:pos="900"/>
              </w:tabs>
              <w:rPr>
                <w:rFonts w:cs="Arial"/>
              </w:rPr>
            </w:pPr>
            <w:r w:rsidRPr="00912904">
              <w:rPr>
                <w:rFonts w:cs="Arial"/>
              </w:rPr>
              <w:t>garantie sur l'universalité des créances actuelles et à venir, disposés à la suite des identifiants selon la catégorie de prêt et de la forme de l'acte.</w:t>
            </w:r>
          </w:p>
        </w:tc>
      </w:tr>
    </w:tbl>
    <w:p w:rsidR="00114B09" w:rsidRDefault="00114B09">
      <w:pPr>
        <w:ind w:left="360" w:hanging="360"/>
        <w:rPr>
          <w:rFonts w:cs="Arial"/>
          <w:sz w:val="16"/>
        </w:rPr>
      </w:pPr>
    </w:p>
    <w:p w:rsidR="00114B09" w:rsidRDefault="00114B09">
      <w:pPr>
        <w:ind w:left="360" w:hanging="360"/>
        <w:rPr>
          <w:rFonts w:cs="Arial"/>
        </w:rPr>
      </w:pPr>
      <w:r>
        <w:rPr>
          <w:rFonts w:cs="Arial"/>
        </w:rPr>
        <w:tab/>
      </w:r>
      <w:r>
        <w:rPr>
          <w:rFonts w:cs="Arial"/>
        </w:rPr>
        <w:tab/>
        <w:t>Exemples :</w:t>
      </w:r>
    </w:p>
    <w:p w:rsidR="00114B09" w:rsidRDefault="00114B09">
      <w:pPr>
        <w:ind w:left="1440" w:firstLine="360"/>
        <w:rPr>
          <w:rFonts w:cs="Arial"/>
        </w:rPr>
      </w:pPr>
      <w:r>
        <w:rPr>
          <w:rFonts w:cs="Arial"/>
        </w:rPr>
        <w:t>3011</w:t>
      </w:r>
      <w:r>
        <w:rPr>
          <w:rFonts w:cs="Arial"/>
          <w:u w:val="single"/>
        </w:rPr>
        <w:t>.4</w:t>
      </w:r>
      <w:r>
        <w:rPr>
          <w:rFonts w:cs="Arial"/>
        </w:rPr>
        <w:t xml:space="preserve"> = garantie immobilière;</w:t>
      </w:r>
    </w:p>
    <w:p w:rsidR="00114B09" w:rsidRDefault="00114B09">
      <w:pPr>
        <w:ind w:left="360" w:hanging="360"/>
        <w:rPr>
          <w:rFonts w:cs="Arial"/>
        </w:rPr>
      </w:pPr>
      <w:r>
        <w:rPr>
          <w:rFonts w:cs="Arial"/>
        </w:rPr>
        <w:tab/>
      </w:r>
      <w:r>
        <w:rPr>
          <w:rFonts w:cs="Arial"/>
        </w:rPr>
        <w:tab/>
      </w:r>
      <w:r>
        <w:rPr>
          <w:rFonts w:cs="Arial"/>
        </w:rPr>
        <w:tab/>
      </w:r>
      <w:r>
        <w:rPr>
          <w:rFonts w:cs="Arial"/>
        </w:rPr>
        <w:tab/>
      </w:r>
      <w:r>
        <w:rPr>
          <w:rFonts w:cs="Arial"/>
        </w:rPr>
        <w:tab/>
        <w:t>3014</w:t>
      </w:r>
      <w:r>
        <w:rPr>
          <w:rFonts w:cs="Arial"/>
          <w:u w:val="single"/>
        </w:rPr>
        <w:t>.5</w:t>
      </w:r>
      <w:r>
        <w:rPr>
          <w:rFonts w:cs="Arial"/>
        </w:rPr>
        <w:t xml:space="preserve"> = garantie mobilière sans quota (sous seing privé).</w:t>
      </w:r>
    </w:p>
    <w:p w:rsidR="00114B09" w:rsidRDefault="00114B09">
      <w:pPr>
        <w:ind w:left="360" w:hanging="360"/>
        <w:rPr>
          <w:rFonts w:cs="Arial"/>
        </w:rPr>
      </w:pPr>
    </w:p>
    <w:p w:rsidR="00114B09" w:rsidRDefault="00114B09">
      <w:pPr>
        <w:ind w:left="360" w:hanging="360"/>
        <w:rPr>
          <w:rFonts w:cs="Arial"/>
        </w:rPr>
      </w:pPr>
      <w:r>
        <w:rPr>
          <w:rFonts w:cs="Arial"/>
        </w:rPr>
        <w:t>7-</w:t>
      </w:r>
      <w:r>
        <w:rPr>
          <w:rFonts w:cs="Arial"/>
        </w:rPr>
        <w:tab/>
      </w:r>
      <w:r>
        <w:rPr>
          <w:rFonts w:cs="Arial"/>
          <w:u w:val="single"/>
        </w:rPr>
        <w:t xml:space="preserve">Codes retenus comme identifiants selon </w:t>
      </w:r>
      <w:r>
        <w:rPr>
          <w:rFonts w:cs="Arial"/>
          <w:b/>
          <w:u w:val="single"/>
        </w:rPr>
        <w:t>les mises à jour des actes</w:t>
      </w:r>
    </w:p>
    <w:p w:rsidR="00114B09" w:rsidRDefault="00114B09">
      <w:pPr>
        <w:ind w:left="360" w:hanging="360"/>
        <w:rPr>
          <w:rFonts w:cs="Arial"/>
          <w:sz w:val="16"/>
        </w:rPr>
      </w:pPr>
    </w:p>
    <w:p w:rsidR="00114B09" w:rsidRDefault="00114B09">
      <w:pPr>
        <w:ind w:left="360" w:hanging="360"/>
        <w:rPr>
          <w:rFonts w:cs="Arial"/>
        </w:rPr>
      </w:pPr>
      <w:r>
        <w:rPr>
          <w:rFonts w:cs="Arial"/>
        </w:rPr>
        <w:tab/>
        <w:t>Il s'agit des deux derniers chiffres de l'année où la dernière mise à jour a été effectuée, précédés d'un point.</w:t>
      </w:r>
    </w:p>
    <w:p w:rsidR="00114B09" w:rsidRDefault="00114B09">
      <w:pPr>
        <w:ind w:left="360" w:hanging="360"/>
        <w:rPr>
          <w:rFonts w:cs="Arial"/>
          <w:sz w:val="16"/>
        </w:rPr>
      </w:pPr>
    </w:p>
    <w:p w:rsidR="00114B09" w:rsidRDefault="00114B09">
      <w:pPr>
        <w:ind w:left="360" w:hanging="360"/>
        <w:rPr>
          <w:rFonts w:cs="Arial"/>
        </w:rPr>
      </w:pPr>
      <w:r>
        <w:rPr>
          <w:rFonts w:cs="Arial"/>
        </w:rPr>
        <w:tab/>
      </w:r>
      <w:r>
        <w:rPr>
          <w:rFonts w:cs="Arial"/>
        </w:rPr>
        <w:tab/>
        <w:t>Exemple :</w:t>
      </w:r>
    </w:p>
    <w:p w:rsidR="00114B09" w:rsidRDefault="00114B09">
      <w:pPr>
        <w:ind w:left="360" w:hanging="360"/>
        <w:rPr>
          <w:rFonts w:cs="Arial"/>
          <w:u w:val="single"/>
        </w:rPr>
      </w:pPr>
      <w:r>
        <w:rPr>
          <w:rFonts w:cs="Arial"/>
        </w:rPr>
        <w:tab/>
      </w:r>
      <w:r>
        <w:rPr>
          <w:rFonts w:cs="Arial"/>
        </w:rPr>
        <w:tab/>
      </w:r>
      <w:r>
        <w:rPr>
          <w:rFonts w:cs="Arial"/>
        </w:rPr>
        <w:tab/>
      </w:r>
      <w:r>
        <w:rPr>
          <w:rFonts w:cs="Arial"/>
        </w:rPr>
        <w:tab/>
      </w:r>
      <w:r>
        <w:rPr>
          <w:rFonts w:cs="Arial"/>
        </w:rPr>
        <w:tab/>
        <w:t>3003.1</w:t>
      </w:r>
      <w:r w:rsidR="004E780D">
        <w:rPr>
          <w:rFonts w:cs="Arial"/>
          <w:u w:val="single"/>
        </w:rPr>
        <w:t>.18</w:t>
      </w:r>
    </w:p>
    <w:p w:rsidR="00114B09" w:rsidRDefault="00114B09">
      <w:pPr>
        <w:ind w:left="360" w:hanging="360"/>
        <w:rPr>
          <w:rFonts w:cs="Arial"/>
          <w:sz w:val="16"/>
          <w:u w:val="single"/>
        </w:rPr>
      </w:pPr>
    </w:p>
    <w:p w:rsidR="00114B09" w:rsidRDefault="00114B09">
      <w:pPr>
        <w:ind w:left="360" w:hanging="360"/>
        <w:rPr>
          <w:rFonts w:cs="Arial"/>
        </w:rPr>
      </w:pPr>
      <w:r>
        <w:rPr>
          <w:rFonts w:cs="Arial"/>
        </w:rPr>
        <w:tab/>
        <w:t>Cependant, dans le cas des « autres formulaires », l’année et le mois peuvent être retenus entre parenthèses; exemple : 3008 (</w:t>
      </w:r>
      <w:r w:rsidR="002F0A95">
        <w:rPr>
          <w:rFonts w:cs="Arial"/>
          <w:u w:val="single"/>
        </w:rPr>
        <w:t>201</w:t>
      </w:r>
      <w:r w:rsidR="009A334D">
        <w:rPr>
          <w:rFonts w:cs="Arial"/>
          <w:u w:val="single"/>
        </w:rPr>
        <w:t>6-05</w:t>
      </w:r>
      <w:r>
        <w:rPr>
          <w:rFonts w:cs="Arial"/>
        </w:rPr>
        <w:t>).</w:t>
      </w:r>
    </w:p>
    <w:p w:rsidR="00114B09" w:rsidRDefault="00114B09">
      <w:pPr>
        <w:ind w:left="360" w:hanging="360"/>
        <w:rPr>
          <w:rFonts w:cs="Arial"/>
        </w:rPr>
      </w:pPr>
    </w:p>
    <w:p w:rsidR="00114B09" w:rsidRDefault="00114B09">
      <w:pPr>
        <w:ind w:left="360" w:hanging="360"/>
        <w:rPr>
          <w:rFonts w:cs="Arial"/>
          <w:b/>
        </w:rPr>
      </w:pPr>
      <w:r>
        <w:rPr>
          <w:rFonts w:cs="Arial"/>
        </w:rPr>
        <w:t>8-</w:t>
      </w:r>
      <w:r>
        <w:rPr>
          <w:rFonts w:cs="Arial"/>
        </w:rPr>
        <w:tab/>
      </w:r>
      <w:r>
        <w:rPr>
          <w:rFonts w:cs="Arial"/>
          <w:u w:val="single"/>
        </w:rPr>
        <w:t xml:space="preserve">Liste de quelques </w:t>
      </w:r>
      <w:r>
        <w:rPr>
          <w:rFonts w:cs="Arial"/>
          <w:b/>
          <w:u w:val="single"/>
        </w:rPr>
        <w:t>abréviations</w:t>
      </w:r>
    </w:p>
    <w:p w:rsidR="00114B09" w:rsidRDefault="00114B09">
      <w:pPr>
        <w:rPr>
          <w:rFonts w:cs="Arial"/>
          <w:bCs/>
          <w:sz w:val="16"/>
        </w:rPr>
      </w:pPr>
    </w:p>
    <w:p w:rsidR="00114B09" w:rsidRDefault="00114B09">
      <w:pPr>
        <w:ind w:firstLine="360"/>
        <w:rPr>
          <w:rFonts w:cs="Arial"/>
        </w:rPr>
      </w:pPr>
      <w:r>
        <w:rPr>
          <w:rFonts w:cs="Arial"/>
        </w:rPr>
        <w:t>LCA</w:t>
      </w:r>
      <w:r>
        <w:rPr>
          <w:rFonts w:cs="Arial"/>
        </w:rPr>
        <w:tab/>
      </w:r>
      <w:r>
        <w:rPr>
          <w:rFonts w:cs="Arial"/>
        </w:rPr>
        <w:tab/>
      </w:r>
      <w:r>
        <w:rPr>
          <w:rFonts w:cs="Arial"/>
        </w:rPr>
        <w:tab/>
      </w:r>
      <w:r>
        <w:rPr>
          <w:rFonts w:cs="Arial"/>
          <w:i/>
        </w:rPr>
        <w:t>Loi sur le crédit agricole</w:t>
      </w:r>
      <w:r>
        <w:rPr>
          <w:rFonts w:cs="Arial"/>
        </w:rPr>
        <w:t>;</w:t>
      </w:r>
    </w:p>
    <w:p w:rsidR="00114B09" w:rsidRDefault="00114B09">
      <w:pPr>
        <w:ind w:firstLine="360"/>
        <w:rPr>
          <w:rFonts w:cs="Arial"/>
        </w:rPr>
      </w:pPr>
      <w:r>
        <w:rPr>
          <w:rFonts w:cs="Arial"/>
        </w:rPr>
        <w:t>LCAIP</w:t>
      </w:r>
      <w:r>
        <w:rPr>
          <w:rFonts w:cs="Arial"/>
        </w:rPr>
        <w:tab/>
      </w:r>
      <w:r>
        <w:rPr>
          <w:rFonts w:cs="Arial"/>
        </w:rPr>
        <w:tab/>
      </w:r>
      <w:r>
        <w:rPr>
          <w:rFonts w:cs="Arial"/>
        </w:rPr>
        <w:tab/>
      </w:r>
      <w:r>
        <w:rPr>
          <w:rFonts w:cs="Arial"/>
          <w:i/>
        </w:rPr>
        <w:t>Loi favorisant le crédit agricole à long terme par les institutions privées</w:t>
      </w:r>
      <w:r>
        <w:rPr>
          <w:rFonts w:cs="Arial"/>
        </w:rPr>
        <w:t>;</w:t>
      </w:r>
    </w:p>
    <w:p w:rsidR="00114B09" w:rsidRDefault="00114B09">
      <w:pPr>
        <w:ind w:firstLine="360"/>
        <w:rPr>
          <w:rFonts w:cs="Arial"/>
        </w:rPr>
      </w:pPr>
      <w:r>
        <w:rPr>
          <w:rFonts w:cs="Arial"/>
        </w:rPr>
        <w:t>LFA</w:t>
      </w:r>
      <w:r>
        <w:rPr>
          <w:rFonts w:cs="Arial"/>
        </w:rPr>
        <w:tab/>
      </w:r>
      <w:r>
        <w:rPr>
          <w:rFonts w:cs="Arial"/>
        </w:rPr>
        <w:tab/>
      </w:r>
      <w:r>
        <w:rPr>
          <w:rFonts w:cs="Arial"/>
        </w:rPr>
        <w:tab/>
      </w:r>
      <w:r>
        <w:rPr>
          <w:rFonts w:cs="Arial"/>
          <w:i/>
        </w:rPr>
        <w:t>Loi sur le financement agricole</w:t>
      </w:r>
      <w:r>
        <w:rPr>
          <w:rFonts w:cs="Arial"/>
        </w:rPr>
        <w:t>;</w:t>
      </w:r>
    </w:p>
    <w:p w:rsidR="00114B09" w:rsidRDefault="00114B09">
      <w:pPr>
        <w:ind w:firstLine="360"/>
        <w:rPr>
          <w:rFonts w:cs="Arial"/>
        </w:rPr>
      </w:pPr>
      <w:r>
        <w:rPr>
          <w:rFonts w:cs="Arial"/>
        </w:rPr>
        <w:t>LSFA</w:t>
      </w:r>
      <w:r>
        <w:rPr>
          <w:rFonts w:cs="Arial"/>
        </w:rPr>
        <w:tab/>
      </w:r>
      <w:r>
        <w:rPr>
          <w:rFonts w:cs="Arial"/>
        </w:rPr>
        <w:tab/>
      </w:r>
      <w:r>
        <w:rPr>
          <w:rFonts w:cs="Arial"/>
        </w:rPr>
        <w:tab/>
      </w:r>
      <w:r>
        <w:rPr>
          <w:rFonts w:cs="Arial"/>
          <w:i/>
        </w:rPr>
        <w:t>Loi sur la Société de financement agricole</w:t>
      </w:r>
      <w:r>
        <w:rPr>
          <w:rFonts w:cs="Arial"/>
        </w:rPr>
        <w:t>;</w:t>
      </w:r>
    </w:p>
    <w:p w:rsidR="00114B09" w:rsidRDefault="00114B09">
      <w:pPr>
        <w:ind w:firstLine="360"/>
        <w:rPr>
          <w:rFonts w:cs="Arial"/>
        </w:rPr>
      </w:pPr>
      <w:r>
        <w:rPr>
          <w:rFonts w:cs="Arial"/>
        </w:rPr>
        <w:t>LFADQ</w:t>
      </w:r>
      <w:r>
        <w:rPr>
          <w:rFonts w:cs="Arial"/>
        </w:rPr>
        <w:tab/>
      </w:r>
      <w:r>
        <w:rPr>
          <w:rFonts w:cs="Arial"/>
        </w:rPr>
        <w:tab/>
      </w:r>
      <w:r>
        <w:rPr>
          <w:rFonts w:cs="Arial"/>
          <w:i/>
        </w:rPr>
        <w:t>Loi sur La Financière agricole du Québec</w:t>
      </w:r>
      <w:r>
        <w:rPr>
          <w:rFonts w:cs="Arial"/>
        </w:rPr>
        <w:t>.</w:t>
      </w:r>
    </w:p>
    <w:p w:rsidR="00114B09" w:rsidRDefault="00114B09">
      <w:pPr>
        <w:ind w:left="360" w:hanging="360"/>
        <w:rPr>
          <w:rFonts w:cs="Arial"/>
        </w:rPr>
      </w:pPr>
    </w:p>
    <w:p w:rsidR="00114B09" w:rsidRDefault="00114B09">
      <w:pPr>
        <w:ind w:left="360" w:hanging="360"/>
        <w:rPr>
          <w:rFonts w:cs="Arial"/>
        </w:rPr>
      </w:pPr>
      <w:r>
        <w:rPr>
          <w:rFonts w:cs="Arial"/>
          <w:b/>
          <w:u w:val="single"/>
        </w:rPr>
        <w:t>Remarques</w:t>
      </w:r>
      <w:r w:rsidR="00744DA3">
        <w:rPr>
          <w:rFonts w:cs="Arial"/>
          <w:b/>
        </w:rPr>
        <w:t> :</w:t>
      </w:r>
    </w:p>
    <w:p w:rsidR="00114B09" w:rsidRDefault="00114B09">
      <w:pPr>
        <w:ind w:left="360" w:hanging="360"/>
        <w:rPr>
          <w:rFonts w:cs="Arial"/>
          <w:sz w:val="16"/>
        </w:rPr>
      </w:pPr>
    </w:p>
    <w:p w:rsidR="00114B09" w:rsidRDefault="00114B09">
      <w:pPr>
        <w:ind w:left="360" w:hanging="360"/>
        <w:rPr>
          <w:rFonts w:cs="Arial"/>
        </w:rPr>
      </w:pPr>
      <w:r>
        <w:rPr>
          <w:rFonts w:cs="Arial"/>
        </w:rPr>
        <w:t>1)</w:t>
      </w:r>
      <w:r>
        <w:rPr>
          <w:rFonts w:cs="Arial"/>
        </w:rPr>
        <w:tab/>
        <w:t>Lorsqu'un acte de prêt comporte plus de deux tranches ou plus de trois tranches, selon le cas, il est possible d'y ajouter les tranches additionnelles appropriées, telles qu'indiquées aux listes des modèles de prêts notariés ou sous seing privé.</w:t>
      </w:r>
    </w:p>
    <w:p w:rsidR="00114B09" w:rsidRDefault="00114B09">
      <w:pPr>
        <w:ind w:left="360" w:hanging="360"/>
        <w:rPr>
          <w:rFonts w:cs="Arial"/>
          <w:sz w:val="16"/>
        </w:rPr>
      </w:pPr>
    </w:p>
    <w:p w:rsidR="00114B09" w:rsidRDefault="00114B09">
      <w:pPr>
        <w:ind w:left="360" w:hanging="360"/>
        <w:rPr>
          <w:rFonts w:cs="Arial"/>
        </w:rPr>
      </w:pPr>
      <w:r>
        <w:rPr>
          <w:rFonts w:cs="Arial"/>
        </w:rPr>
        <w:t>2)</w:t>
      </w:r>
      <w:r>
        <w:rPr>
          <w:rFonts w:cs="Arial"/>
        </w:rPr>
        <w:tab/>
      </w:r>
      <w:r>
        <w:rPr>
          <w:rFonts w:cs="Arial"/>
          <w:u w:val="single"/>
        </w:rPr>
        <w:t>Codes retenus comme identifiants pour les autres formulaires</w:t>
      </w:r>
      <w:r>
        <w:rPr>
          <w:rFonts w:cs="Arial"/>
        </w:rPr>
        <w:t xml:space="preserve"> (rapport sur les titres; convention de renouvellement; avis; convention additionnelle, re : art. 427 de la </w:t>
      </w:r>
      <w:r>
        <w:rPr>
          <w:rFonts w:cs="Arial"/>
          <w:i/>
        </w:rPr>
        <w:t>Loi sur les banques</w:t>
      </w:r>
      <w:r>
        <w:rPr>
          <w:rFonts w:cs="Arial"/>
        </w:rPr>
        <w:t>).</w:t>
      </w:r>
    </w:p>
    <w:p w:rsidR="00114B09" w:rsidRDefault="00114B09">
      <w:pPr>
        <w:ind w:left="360" w:hanging="360"/>
        <w:rPr>
          <w:rFonts w:cs="Arial"/>
          <w:sz w:val="16"/>
        </w:rPr>
      </w:pPr>
    </w:p>
    <w:p w:rsidR="00114B09" w:rsidRDefault="00114B09">
      <w:pPr>
        <w:ind w:left="360" w:hanging="360"/>
        <w:rPr>
          <w:rFonts w:cs="Arial"/>
        </w:rPr>
      </w:pPr>
      <w:r>
        <w:rPr>
          <w:rFonts w:cs="Arial"/>
        </w:rPr>
        <w:tab/>
        <w:t>Les codes retenus l'ont été dans la série des 3 000 par commodité, sans autre signification particulière.</w:t>
      </w:r>
    </w:p>
    <w:p w:rsidR="00744DA3" w:rsidRDefault="00744DA3">
      <w:pPr>
        <w:ind w:left="360" w:hanging="360"/>
        <w:rPr>
          <w:rFonts w:cs="Arial"/>
        </w:rPr>
      </w:pPr>
    </w:p>
    <w:p w:rsidR="00744DA3" w:rsidRDefault="00744DA3">
      <w:pPr>
        <w:ind w:left="360" w:hanging="360"/>
        <w:rPr>
          <w:rFonts w:cs="Arial"/>
        </w:rPr>
      </w:pPr>
    </w:p>
    <w:p w:rsidR="00744DA3" w:rsidRDefault="00744DA3">
      <w:pPr>
        <w:ind w:left="360" w:hanging="360"/>
        <w:rPr>
          <w:rFonts w:cs="Arial"/>
        </w:rPr>
      </w:pPr>
    </w:p>
    <w:p w:rsidR="00744DA3" w:rsidRDefault="00744DA3">
      <w:pPr>
        <w:ind w:left="360" w:hanging="360"/>
        <w:rPr>
          <w:rFonts w:cs="Arial"/>
        </w:rPr>
      </w:pPr>
    </w:p>
    <w:p w:rsidR="00000F0D" w:rsidRPr="00000F0D" w:rsidRDefault="00C12C13" w:rsidP="00000F0D">
      <w:pPr>
        <w:ind w:left="360" w:hanging="360"/>
        <w:rPr>
          <w:rFonts w:cs="Arial"/>
          <w:i/>
          <w:sz w:val="18"/>
          <w:szCs w:val="18"/>
        </w:rPr>
      </w:pPr>
      <w:r>
        <w:rPr>
          <w:rFonts w:cs="Arial"/>
          <w:i/>
          <w:sz w:val="18"/>
          <w:szCs w:val="18"/>
        </w:rPr>
        <w:t>Direction des affaires juridiques</w:t>
      </w:r>
    </w:p>
    <w:p w:rsidR="00000F0D" w:rsidRPr="00000F0D" w:rsidRDefault="004E780D" w:rsidP="00000F0D">
      <w:pPr>
        <w:ind w:left="360" w:hanging="360"/>
        <w:rPr>
          <w:sz w:val="18"/>
          <w:szCs w:val="18"/>
        </w:rPr>
      </w:pPr>
      <w:r>
        <w:rPr>
          <w:sz w:val="18"/>
          <w:szCs w:val="18"/>
        </w:rPr>
        <w:t>Juin 2018</w:t>
      </w:r>
    </w:p>
    <w:sectPr w:rsidR="00000F0D" w:rsidRPr="00000F0D" w:rsidSect="00744DA3">
      <w:headerReference w:type="default" r:id="rId7"/>
      <w:pgSz w:w="12240" w:h="15840" w:code="1"/>
      <w:pgMar w:top="1440" w:right="1152" w:bottom="864" w:left="1440" w:header="432"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57B" w:rsidRDefault="007C457B" w:rsidP="00114B09">
      <w:r>
        <w:separator/>
      </w:r>
    </w:p>
  </w:endnote>
  <w:endnote w:type="continuationSeparator" w:id="0">
    <w:p w:rsidR="007C457B" w:rsidRDefault="007C457B" w:rsidP="00114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57B" w:rsidRDefault="007C457B" w:rsidP="00114B09">
      <w:r>
        <w:separator/>
      </w:r>
    </w:p>
  </w:footnote>
  <w:footnote w:type="continuationSeparator" w:id="0">
    <w:p w:rsidR="007C457B" w:rsidRDefault="007C457B" w:rsidP="00114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F0D" w:rsidRPr="00912904" w:rsidRDefault="00F50294">
    <w:pPr>
      <w:pStyle w:val="En-tte"/>
      <w:jc w:val="right"/>
      <w:rPr>
        <w:sz w:val="20"/>
        <w:szCs w:val="20"/>
      </w:rPr>
    </w:pPr>
    <w:r w:rsidRPr="00912904">
      <w:rPr>
        <w:sz w:val="20"/>
        <w:szCs w:val="20"/>
      </w:rPr>
      <w:fldChar w:fldCharType="begin"/>
    </w:r>
    <w:r w:rsidR="00000F0D" w:rsidRPr="00912904">
      <w:rPr>
        <w:sz w:val="20"/>
        <w:szCs w:val="20"/>
      </w:rPr>
      <w:instrText xml:space="preserve"> PAGE   \* MERGEFORMAT </w:instrText>
    </w:r>
    <w:r w:rsidRPr="00912904">
      <w:rPr>
        <w:sz w:val="20"/>
        <w:szCs w:val="20"/>
      </w:rPr>
      <w:fldChar w:fldCharType="separate"/>
    </w:r>
    <w:r w:rsidR="00D92C84">
      <w:rPr>
        <w:noProof/>
        <w:sz w:val="20"/>
        <w:szCs w:val="20"/>
      </w:rPr>
      <w:t>2</w:t>
    </w:r>
    <w:r w:rsidRPr="00912904">
      <w:rPr>
        <w:sz w:val="20"/>
        <w:szCs w:val="20"/>
      </w:rPr>
      <w:fldChar w:fldCharType="end"/>
    </w:r>
  </w:p>
  <w:p w:rsidR="00000F0D" w:rsidRDefault="00000F0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00DDA"/>
    <w:multiLevelType w:val="hybridMultilevel"/>
    <w:tmpl w:val="3188A0FE"/>
    <w:lvl w:ilvl="0" w:tplc="2C484B3A">
      <w:start w:val="1"/>
      <w:numFmt w:val="bullet"/>
      <w:lvlText w:val="-"/>
      <w:lvlJc w:val="left"/>
      <w:pPr>
        <w:ind w:left="720" w:hanging="360"/>
      </w:pPr>
      <w:rPr>
        <w:rFonts w:ascii="Arial" w:hAnsi="Aria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1AB59AC"/>
    <w:multiLevelType w:val="hybridMultilevel"/>
    <w:tmpl w:val="B82E5B30"/>
    <w:lvl w:ilvl="0" w:tplc="2C484B3A">
      <w:start w:val="1"/>
      <w:numFmt w:val="bullet"/>
      <w:lvlText w:val="-"/>
      <w:lvlJc w:val="left"/>
      <w:pPr>
        <w:ind w:left="720" w:hanging="360"/>
      </w:pPr>
      <w:rPr>
        <w:rFonts w:ascii="Arial" w:hAnsi="Arial" w:hint="default"/>
      </w:rPr>
    </w:lvl>
    <w:lvl w:ilvl="1" w:tplc="2C484B3A">
      <w:start w:val="1"/>
      <w:numFmt w:val="bullet"/>
      <w:lvlText w:val="-"/>
      <w:lvlJc w:val="left"/>
      <w:pPr>
        <w:ind w:left="1440" w:hanging="360"/>
      </w:pPr>
      <w:rPr>
        <w:rFonts w:ascii="Arial" w:hAnsi="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8545212"/>
    <w:multiLevelType w:val="hybridMultilevel"/>
    <w:tmpl w:val="8938985C"/>
    <w:lvl w:ilvl="0" w:tplc="2C484B3A">
      <w:start w:val="1"/>
      <w:numFmt w:val="bullet"/>
      <w:lvlText w:val="-"/>
      <w:lvlJc w:val="left"/>
      <w:pPr>
        <w:ind w:left="720" w:hanging="360"/>
      </w:pPr>
      <w:rPr>
        <w:rFonts w:ascii="Arial" w:hAnsi="Aria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8D22A7D"/>
    <w:multiLevelType w:val="singleLevel"/>
    <w:tmpl w:val="9594C8E6"/>
    <w:lvl w:ilvl="0">
      <w:start w:val="1"/>
      <w:numFmt w:val="decimal"/>
      <w:lvlText w:val="%1."/>
      <w:legacy w:legacy="1" w:legacySpace="0" w:legacyIndent="360"/>
      <w:lvlJc w:val="left"/>
      <w:pPr>
        <w:ind w:left="1080" w:hanging="360"/>
      </w:pPr>
    </w:lvl>
  </w:abstractNum>
  <w:abstractNum w:abstractNumId="4" w15:restartNumberingAfterBreak="0">
    <w:nsid w:val="7E890FB9"/>
    <w:multiLevelType w:val="hybridMultilevel"/>
    <w:tmpl w:val="C16A7B1E"/>
    <w:lvl w:ilvl="0" w:tplc="2C484B3A">
      <w:start w:val="1"/>
      <w:numFmt w:val="bullet"/>
      <w:lvlText w:val="-"/>
      <w:lvlJc w:val="left"/>
      <w:pPr>
        <w:ind w:left="720" w:hanging="360"/>
      </w:pPr>
      <w:rPr>
        <w:rFonts w:ascii="Arial" w:hAnsi="Arial" w:hint="default"/>
      </w:rPr>
    </w:lvl>
    <w:lvl w:ilvl="1" w:tplc="2C484B3A">
      <w:start w:val="1"/>
      <w:numFmt w:val="bullet"/>
      <w:lvlText w:val="-"/>
      <w:lvlJc w:val="left"/>
      <w:pPr>
        <w:ind w:left="1440" w:hanging="360"/>
      </w:pPr>
      <w:rPr>
        <w:rFonts w:ascii="Arial" w:hAnsi="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oNotTrackMoves/>
  <w:defaultTabStop w:val="360"/>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2EE"/>
    <w:rsid w:val="00000F0D"/>
    <w:rsid w:val="000E110C"/>
    <w:rsid w:val="000F77D4"/>
    <w:rsid w:val="00114B09"/>
    <w:rsid w:val="00124FE8"/>
    <w:rsid w:val="00126745"/>
    <w:rsid w:val="001308BE"/>
    <w:rsid w:val="001A393D"/>
    <w:rsid w:val="001B6E4B"/>
    <w:rsid w:val="001D0881"/>
    <w:rsid w:val="002F0A95"/>
    <w:rsid w:val="00311FE7"/>
    <w:rsid w:val="00360E42"/>
    <w:rsid w:val="00390EEB"/>
    <w:rsid w:val="003C3468"/>
    <w:rsid w:val="00484945"/>
    <w:rsid w:val="004B093F"/>
    <w:rsid w:val="004E780D"/>
    <w:rsid w:val="00562AB8"/>
    <w:rsid w:val="005C411B"/>
    <w:rsid w:val="006156EA"/>
    <w:rsid w:val="00633EB9"/>
    <w:rsid w:val="0071103F"/>
    <w:rsid w:val="00744DA3"/>
    <w:rsid w:val="007A2838"/>
    <w:rsid w:val="007C3516"/>
    <w:rsid w:val="007C457B"/>
    <w:rsid w:val="007D12DB"/>
    <w:rsid w:val="008333EB"/>
    <w:rsid w:val="00883B42"/>
    <w:rsid w:val="00912904"/>
    <w:rsid w:val="009644E9"/>
    <w:rsid w:val="009A334D"/>
    <w:rsid w:val="00A301FF"/>
    <w:rsid w:val="00A56E10"/>
    <w:rsid w:val="00BC72CB"/>
    <w:rsid w:val="00C12C13"/>
    <w:rsid w:val="00C20A34"/>
    <w:rsid w:val="00C640A5"/>
    <w:rsid w:val="00D1381B"/>
    <w:rsid w:val="00D92C84"/>
    <w:rsid w:val="00DD108E"/>
    <w:rsid w:val="00E042EE"/>
    <w:rsid w:val="00EB2630"/>
    <w:rsid w:val="00EE2929"/>
    <w:rsid w:val="00EE7749"/>
    <w:rsid w:val="00F3266A"/>
    <w:rsid w:val="00F43656"/>
    <w:rsid w:val="00F50294"/>
    <w:rsid w:val="00F801F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6D0B62D8-4A97-4F4D-96B1-93E0B917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81"/>
    <w:pPr>
      <w:jc w:val="both"/>
    </w:pPr>
    <w:rPr>
      <w:rFonts w:ascii="Arial" w:hAnsi="Arial"/>
      <w:sz w:val="22"/>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semiHidden/>
    <w:rsid w:val="001D0881"/>
  </w:style>
  <w:style w:type="table" w:styleId="Grilledutableau">
    <w:name w:val="Table Grid"/>
    <w:basedOn w:val="TableauNormal"/>
    <w:uiPriority w:val="59"/>
    <w:rsid w:val="001B6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1D0881"/>
    <w:pPr>
      <w:tabs>
        <w:tab w:val="center" w:pos="4680"/>
        <w:tab w:val="right" w:pos="9360"/>
      </w:tabs>
    </w:pPr>
  </w:style>
  <w:style w:type="paragraph" w:styleId="Pieddepage">
    <w:name w:val="footer"/>
    <w:basedOn w:val="Normal"/>
    <w:semiHidden/>
    <w:rsid w:val="001D0881"/>
    <w:pPr>
      <w:tabs>
        <w:tab w:val="center" w:pos="4680"/>
        <w:tab w:val="right" w:pos="9360"/>
      </w:tabs>
    </w:pPr>
  </w:style>
  <w:style w:type="character" w:customStyle="1" w:styleId="En-tteCar">
    <w:name w:val="En-tête Car"/>
    <w:link w:val="En-tte"/>
    <w:uiPriority w:val="99"/>
    <w:rsid w:val="00912904"/>
    <w:rPr>
      <w:rFonts w:ascii="Arial" w:hAnsi="Arial"/>
      <w:sz w:val="22"/>
      <w:szCs w:val="24"/>
      <w:lang w:eastAsia="fr-FR"/>
    </w:rPr>
  </w:style>
  <w:style w:type="paragraph" w:styleId="Textedebulles">
    <w:name w:val="Balloon Text"/>
    <w:basedOn w:val="Normal"/>
    <w:link w:val="TextedebullesCar"/>
    <w:uiPriority w:val="99"/>
    <w:semiHidden/>
    <w:unhideWhenUsed/>
    <w:rsid w:val="003C3468"/>
    <w:rPr>
      <w:rFonts w:ascii="Tahoma" w:hAnsi="Tahoma" w:cs="Tahoma"/>
      <w:sz w:val="16"/>
      <w:szCs w:val="16"/>
    </w:rPr>
  </w:style>
  <w:style w:type="character" w:customStyle="1" w:styleId="TextedebullesCar">
    <w:name w:val="Texte de bulles Car"/>
    <w:link w:val="Textedebulles"/>
    <w:uiPriority w:val="99"/>
    <w:semiHidden/>
    <w:rsid w:val="003C3468"/>
    <w:rPr>
      <w:rFonts w:ascii="Tahoma" w:hAnsi="Tahoma" w:cs="Tahoma"/>
      <w:sz w:val="16"/>
      <w:szCs w:val="16"/>
      <w:lang w:eastAsia="fr-FR"/>
    </w:rPr>
  </w:style>
  <w:style w:type="paragraph" w:styleId="Paragraphedeliste">
    <w:name w:val="List Paragraph"/>
    <w:basedOn w:val="Normal"/>
    <w:uiPriority w:val="34"/>
    <w:qFormat/>
    <w:rsid w:val="00000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1017</Words>
  <Characters>5599</Characters>
  <Application>Microsoft Office Word</Application>
  <DocSecurity>4</DocSecurity>
  <Lines>46</Lines>
  <Paragraphs>13</Paragraphs>
  <ScaleCrop>false</ScaleCrop>
  <HeadingPairs>
    <vt:vector size="2" baseType="variant">
      <vt:variant>
        <vt:lpstr>Titre</vt:lpstr>
      </vt:variant>
      <vt:variant>
        <vt:i4>1</vt:i4>
      </vt:variant>
    </vt:vector>
  </HeadingPairs>
  <TitlesOfParts>
    <vt:vector size="1" baseType="lpstr">
      <vt:lpstr>Signification des codes retenus pour les actes de prêt et de garantie</vt:lpstr>
    </vt:vector>
  </TitlesOfParts>
  <Company>fadq</Company>
  <LinksUpToDate>false</LinksUpToDate>
  <CharactersWithSpaces>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Signification des codes retenus pour les actes de prêt et de garantie</dc:title>
  <dc:subject/>
  <dc:creator>FADQ - Direction des affaires juridiques</dc:creator>
  <cp:keywords/>
  <cp:lastModifiedBy>Arsenault, Francis</cp:lastModifiedBy>
  <cp:revision>2</cp:revision>
  <cp:lastPrinted>2016-04-20T13:27:00Z</cp:lastPrinted>
  <dcterms:created xsi:type="dcterms:W3CDTF">2018-10-02T13:31:00Z</dcterms:created>
  <dcterms:modified xsi:type="dcterms:W3CDTF">2018-10-02T13:31:00Z</dcterms:modified>
</cp:coreProperties>
</file>