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5D" w:rsidRDefault="00F0405D">
      <w:pPr>
        <w:suppressAutoHyphens/>
        <w:rPr>
          <w:rFonts w:ascii="Arial" w:hAnsi="Arial"/>
          <w:b/>
          <w:sz w:val="22"/>
        </w:rPr>
      </w:pPr>
      <w:bookmarkStart w:id="0" w:name="_GoBack"/>
      <w:bookmarkEnd w:id="0"/>
    </w:p>
    <w:p w:rsidR="00F0405D" w:rsidRDefault="00F0405D">
      <w:pPr>
        <w:suppressAutoHyphens/>
        <w:ind w:firstLine="1008"/>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p>
    <w:p w:rsidR="00F0405D" w:rsidRDefault="00F0405D">
      <w:pPr>
        <w:suppressAutoHyphens/>
        <w:ind w:firstLine="1008"/>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1008"/>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1008"/>
        <w:rPr>
          <w:rFonts w:ascii="Arial" w:hAnsi="Arial"/>
          <w:b/>
          <w:sz w:val="22"/>
        </w:rPr>
      </w:pPr>
      <w:r>
        <w:rPr>
          <w:rFonts w:ascii="Arial" w:hAnsi="Arial"/>
          <w:b/>
          <w:sz w:val="22"/>
        </w:rPr>
        <w:t>ET</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1008"/>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288"/>
        <w:rPr>
          <w:rFonts w:ascii="Arial" w:hAnsi="Arial"/>
          <w:sz w:val="22"/>
        </w:rPr>
      </w:pPr>
      <w:r>
        <w:rPr>
          <w:rFonts w:ascii="Arial" w:hAnsi="Arial"/>
          <w:sz w:val="22"/>
        </w:rPr>
        <w:t>Lesquels font les déclarations et conventions suivantes:</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288"/>
        <w:rPr>
          <w:rFonts w:ascii="Arial" w:hAnsi="Arial"/>
          <w:b/>
          <w:sz w:val="22"/>
        </w:rPr>
      </w:pPr>
      <w:r>
        <w:rPr>
          <w:rFonts w:ascii="Arial" w:hAnsi="Arial"/>
          <w:sz w:val="22"/>
        </w:rPr>
        <w:t xml:space="preserve">1-  </w:t>
      </w:r>
      <w:r>
        <w:rPr>
          <w:rFonts w:ascii="Arial" w:hAnsi="Arial"/>
          <w:b/>
          <w:sz w:val="22"/>
        </w:rPr>
        <w:t>DÉCLARATIONS</w:t>
      </w:r>
    </w:p>
    <w:p w:rsidR="00F0405D" w:rsidRDefault="00F0405D">
      <w:pPr>
        <w:suppressAutoHyphens/>
        <w:rPr>
          <w:rFonts w:ascii="Arial" w:hAnsi="Arial"/>
          <w:sz w:val="22"/>
        </w:rPr>
      </w:pPr>
    </w:p>
    <w:p w:rsidR="00F0405D" w:rsidRDefault="00F0405D">
      <w:pPr>
        <w:suppressAutoHyphens/>
        <w:rPr>
          <w:rFonts w:ascii="Arial" w:hAnsi="Arial"/>
          <w:i/>
          <w:sz w:val="22"/>
        </w:rPr>
      </w:pPr>
      <w:r w:rsidRPr="005B3847">
        <w:rPr>
          <w:rFonts w:ascii="Arial" w:hAnsi="Arial"/>
          <w:i/>
          <w:sz w:val="22"/>
        </w:rPr>
        <w:fldChar w:fldCharType="begin"/>
      </w:r>
      <w:r w:rsidRPr="005B3847">
        <w:rPr>
          <w:rFonts w:ascii="Arial" w:hAnsi="Arial"/>
          <w:i/>
          <w:sz w:val="22"/>
        </w:rPr>
        <w:instrText xml:space="preserve"> FILLIN  \* MERGEFORMAT </w:instrText>
      </w:r>
      <w:r w:rsidRPr="005B3847">
        <w:rPr>
          <w:rFonts w:ascii="Arial" w:hAnsi="Arial"/>
          <w:i/>
          <w:sz w:val="22"/>
        </w:rPr>
        <w:fldChar w:fldCharType="separate"/>
      </w:r>
      <w:r w:rsidRPr="005B3847">
        <w:rPr>
          <w:rFonts w:ascii="Arial" w:hAnsi="Arial"/>
          <w:i/>
          <w:sz w:val="22"/>
        </w:rPr>
        <w:t xml:space="preserve">PRÊT SANS PARTAGE DE RISQUE (si non applicable, enlever les sous-paragaphes </w:t>
      </w:r>
      <w:r w:rsidRPr="005B3847">
        <w:rPr>
          <w:rFonts w:ascii="Arial" w:hAnsi="Arial"/>
          <w:b/>
          <w:i/>
          <w:sz w:val="22"/>
        </w:rPr>
        <w:t>a)</w:t>
      </w:r>
      <w:r w:rsidRPr="005B3847">
        <w:rPr>
          <w:rFonts w:ascii="Arial" w:hAnsi="Arial"/>
          <w:i/>
          <w:sz w:val="22"/>
        </w:rPr>
        <w:t xml:space="preserve">, </w:t>
      </w:r>
      <w:r w:rsidRPr="005B3847">
        <w:rPr>
          <w:rFonts w:ascii="Arial" w:hAnsi="Arial"/>
          <w:b/>
          <w:i/>
          <w:sz w:val="22"/>
        </w:rPr>
        <w:t>b)</w:t>
      </w:r>
      <w:r w:rsidRPr="005B3847">
        <w:rPr>
          <w:rFonts w:ascii="Arial" w:hAnsi="Arial"/>
          <w:i/>
          <w:sz w:val="22"/>
        </w:rPr>
        <w:t xml:space="preserve"> et </w:t>
      </w:r>
      <w:r w:rsidRPr="005B3847">
        <w:rPr>
          <w:rFonts w:ascii="Arial" w:hAnsi="Arial"/>
          <w:b/>
          <w:i/>
          <w:sz w:val="22"/>
        </w:rPr>
        <w:t>c)</w:t>
      </w:r>
      <w:r w:rsidR="005B3847" w:rsidRPr="005B3847">
        <w:rPr>
          <w:rFonts w:ascii="Arial" w:hAnsi="Arial"/>
          <w:i/>
          <w:sz w:val="22"/>
        </w:rPr>
        <w:t>).</w:t>
      </w:r>
      <w:r w:rsidRPr="005B3847">
        <w:rPr>
          <w:rFonts w:ascii="Arial" w:hAnsi="Arial"/>
          <w:i/>
          <w:sz w:val="22"/>
        </w:rPr>
        <w:fldChar w:fldCharType="end"/>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sidRPr="005B3847">
        <w:rPr>
          <w:rFonts w:ascii="Arial" w:hAnsi="Arial"/>
          <w:b/>
          <w:sz w:val="22"/>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(L.R.Q., chapitre L</w:t>
      </w:r>
      <w:r>
        <w:rPr>
          <w:rFonts w:ascii="Arial" w:hAnsi="Arial"/>
          <w:sz w:val="22"/>
        </w:rPr>
        <w:noBreakHyphen/>
        <w:t>0.1) ci</w:t>
      </w:r>
      <w:r>
        <w:rPr>
          <w:rFonts w:ascii="Arial" w:hAnsi="Arial"/>
          <w:sz w:val="22"/>
        </w:rPr>
        <w:noBreakHyphen/>
        <w:t xml:space="preserve">après appelée la "Loi", suivant acte de prêt, ci-après appelé le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sidRPr="005B3847">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sidRPr="005B3847">
        <w:rPr>
          <w:rFonts w:ascii="Arial" w:hAnsi="Arial"/>
          <w:b/>
          <w:sz w:val="22"/>
        </w:rPr>
        <w:t>c)</w:t>
      </w:r>
      <w:r>
        <w:rPr>
          <w:rFonts w:ascii="Arial" w:hAnsi="Arial"/>
          <w:sz w:val="22"/>
        </w:rPr>
        <w:t xml:space="preserve"> Pour garantir le remboursement du prêt, le débiteur offre au créancier de lui consentir les garanties suivantes.</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p>
    <w:p w:rsidR="00F0405D" w:rsidRDefault="00F0405D">
      <w:pPr>
        <w:suppressAutoHyphens/>
        <w:rPr>
          <w:rFonts w:ascii="Arial" w:hAnsi="Arial"/>
          <w:i/>
          <w:sz w:val="22"/>
        </w:rPr>
      </w:pPr>
      <w:r w:rsidRPr="005B3847">
        <w:rPr>
          <w:rFonts w:ascii="Arial" w:hAnsi="Arial"/>
          <w:i/>
          <w:sz w:val="22"/>
        </w:rPr>
        <w:fldChar w:fldCharType="begin"/>
      </w:r>
      <w:r w:rsidRPr="005B3847">
        <w:rPr>
          <w:rFonts w:ascii="Arial" w:hAnsi="Arial"/>
          <w:i/>
          <w:sz w:val="22"/>
        </w:rPr>
        <w:instrText xml:space="preserve"> FILLIN  \* MERGEFORMAT </w:instrText>
      </w:r>
      <w:r w:rsidRPr="005B3847">
        <w:rPr>
          <w:rFonts w:ascii="Arial" w:hAnsi="Arial"/>
          <w:i/>
          <w:sz w:val="22"/>
        </w:rPr>
        <w:fldChar w:fldCharType="separate"/>
      </w:r>
      <w:r w:rsidRPr="005B3847">
        <w:rPr>
          <w:rFonts w:ascii="Arial" w:hAnsi="Arial"/>
          <w:i/>
          <w:sz w:val="22"/>
        </w:rPr>
        <w:t xml:space="preserve">PRÊT À RISQUE PARTAGÉ (si non applicable, enlever les sous-paragraphes </w:t>
      </w:r>
      <w:r w:rsidRPr="005B3847">
        <w:rPr>
          <w:rFonts w:ascii="Arial" w:hAnsi="Arial"/>
          <w:b/>
          <w:i/>
          <w:sz w:val="22"/>
        </w:rPr>
        <w:t>a)</w:t>
      </w:r>
      <w:r w:rsidRPr="005B3847">
        <w:rPr>
          <w:rFonts w:ascii="Arial" w:hAnsi="Arial"/>
          <w:i/>
          <w:sz w:val="22"/>
        </w:rPr>
        <w:t xml:space="preserve">, </w:t>
      </w:r>
      <w:r w:rsidRPr="005B3847">
        <w:rPr>
          <w:rFonts w:ascii="Arial" w:hAnsi="Arial"/>
          <w:b/>
          <w:i/>
          <w:sz w:val="22"/>
        </w:rPr>
        <w:t>b)</w:t>
      </w:r>
      <w:r w:rsidRPr="005B3847">
        <w:rPr>
          <w:rFonts w:ascii="Arial" w:hAnsi="Arial"/>
          <w:i/>
          <w:sz w:val="22"/>
        </w:rPr>
        <w:t xml:space="preserve"> et</w:t>
      </w:r>
      <w:r w:rsidR="005B3847" w:rsidRPr="005B3847">
        <w:rPr>
          <w:rFonts w:ascii="Arial" w:hAnsi="Arial"/>
          <w:i/>
          <w:sz w:val="22"/>
        </w:rPr>
        <w:t xml:space="preserve"> </w:t>
      </w:r>
      <w:r w:rsidRPr="005B3847">
        <w:rPr>
          <w:rFonts w:ascii="Arial" w:hAnsi="Arial"/>
          <w:b/>
          <w:i/>
          <w:sz w:val="22"/>
        </w:rPr>
        <w:t>c)</w:t>
      </w:r>
      <w:r w:rsidR="005B3847" w:rsidRPr="005B3847">
        <w:rPr>
          <w:rFonts w:ascii="Arial" w:hAnsi="Arial"/>
          <w:i/>
          <w:sz w:val="22"/>
        </w:rPr>
        <w:t>).</w:t>
      </w:r>
      <w:r w:rsidRPr="005B3847">
        <w:rPr>
          <w:rFonts w:ascii="Arial" w:hAnsi="Arial"/>
          <w:i/>
          <w:sz w:val="22"/>
        </w:rPr>
        <w:fldChar w:fldCharType="end"/>
      </w:r>
    </w:p>
    <w:p w:rsidR="008744F9" w:rsidRDefault="008744F9">
      <w:pPr>
        <w:suppressAutoHyphens/>
        <w:rPr>
          <w:rFonts w:ascii="Arial" w:hAnsi="Arial"/>
          <w:i/>
          <w:sz w:val="22"/>
        </w:rPr>
      </w:pPr>
    </w:p>
    <w:p w:rsidR="00CD0622" w:rsidRPr="008744F9" w:rsidRDefault="00CD0622" w:rsidP="00CD0622">
      <w:pPr>
        <w:suppressAutoHyphens/>
        <w:rPr>
          <w:rFonts w:ascii="Arial" w:hAnsi="Arial"/>
          <w:i/>
          <w:sz w:val="22"/>
        </w:rPr>
      </w:pPr>
      <w:r w:rsidRPr="008744F9">
        <w:rPr>
          <w:rFonts w:ascii="Arial" w:hAnsi="Arial"/>
          <w:b/>
          <w:i/>
          <w:sz w:val="22"/>
        </w:rPr>
        <w:fldChar w:fldCharType="begin"/>
      </w:r>
      <w:r w:rsidRPr="008744F9">
        <w:rPr>
          <w:rFonts w:ascii="Arial" w:hAnsi="Arial"/>
          <w:b/>
          <w:i/>
          <w:sz w:val="22"/>
        </w:rPr>
        <w:instrText xml:space="preserve"> FILLIN  \* MERGEFORMAT </w:instrText>
      </w:r>
      <w:r w:rsidRPr="008744F9">
        <w:rPr>
          <w:rFonts w:ascii="Arial" w:hAnsi="Arial"/>
          <w:b/>
          <w:i/>
          <w:sz w:val="22"/>
        </w:rPr>
        <w:fldChar w:fldCharType="separate"/>
      </w:r>
      <w:r w:rsidRPr="008744F9">
        <w:rPr>
          <w:rFonts w:ascii="Arial" w:hAnsi="Arial"/>
          <w:b/>
          <w:i/>
          <w:sz w:val="22"/>
        </w:rPr>
        <w:t>PRÊT À RISQUE PARTAGÉ</w:t>
      </w:r>
      <w:r w:rsidRPr="008744F9">
        <w:rPr>
          <w:rFonts w:ascii="Arial" w:hAnsi="Arial"/>
          <w:i/>
          <w:sz w:val="22"/>
        </w:rPr>
        <w:t xml:space="preserve"> au moyen </w:t>
      </w:r>
      <w:r w:rsidRPr="008744F9">
        <w:rPr>
          <w:rFonts w:ascii="Arial" w:hAnsi="Arial"/>
          <w:b/>
          <w:i/>
          <w:sz w:val="22"/>
          <w:u w:val="single"/>
        </w:rPr>
        <w:t>de plus d'un prêt</w:t>
      </w:r>
      <w:r w:rsidRPr="008744F9">
        <w:rPr>
          <w:rFonts w:ascii="Arial" w:hAnsi="Arial"/>
          <w:i/>
          <w:sz w:val="22"/>
        </w:rPr>
        <w:t xml:space="preserve"> dont un seul </w:t>
      </w:r>
      <w:r w:rsidRPr="008744F9">
        <w:rPr>
          <w:rFonts w:ascii="Arial" w:hAnsi="Arial"/>
          <w:b/>
          <w:i/>
          <w:sz w:val="22"/>
        </w:rPr>
        <w:t>est garanti par La Financière agricole (si non applicable, enlever les</w:t>
      </w:r>
      <w:r w:rsidRPr="008744F9">
        <w:rPr>
          <w:rFonts w:ascii="Arial" w:hAnsi="Arial"/>
          <w:i/>
          <w:sz w:val="22"/>
        </w:rPr>
        <w:t xml:space="preserve"> sous-paragraphes </w:t>
      </w:r>
      <w:r w:rsidRPr="008744F9">
        <w:rPr>
          <w:rFonts w:ascii="Arial" w:hAnsi="Arial"/>
          <w:b/>
          <w:i/>
          <w:sz w:val="22"/>
        </w:rPr>
        <w:t>a)</w:t>
      </w:r>
      <w:r w:rsidRPr="008744F9">
        <w:rPr>
          <w:rFonts w:ascii="Arial" w:hAnsi="Arial"/>
          <w:i/>
          <w:sz w:val="22"/>
        </w:rPr>
        <w:t xml:space="preserve">, </w:t>
      </w:r>
      <w:r w:rsidRPr="008744F9">
        <w:rPr>
          <w:rFonts w:ascii="Arial" w:hAnsi="Arial"/>
          <w:b/>
          <w:i/>
          <w:sz w:val="22"/>
        </w:rPr>
        <w:t>b)</w:t>
      </w:r>
      <w:r w:rsidRPr="008744F9">
        <w:rPr>
          <w:rFonts w:ascii="Arial" w:hAnsi="Arial"/>
          <w:i/>
          <w:sz w:val="22"/>
        </w:rPr>
        <w:t xml:space="preserve"> et </w:t>
      </w:r>
      <w:r w:rsidRPr="008744F9">
        <w:rPr>
          <w:rFonts w:ascii="Arial" w:hAnsi="Arial"/>
          <w:b/>
          <w:i/>
          <w:sz w:val="22"/>
        </w:rPr>
        <w:t>c)</w:t>
      </w:r>
      <w:r w:rsidRPr="008744F9">
        <w:rPr>
          <w:rFonts w:ascii="Arial" w:hAnsi="Arial"/>
          <w:i/>
          <w:sz w:val="22"/>
        </w:rPr>
        <w:t xml:space="preserve">). </w:t>
      </w:r>
    </w:p>
    <w:p w:rsidR="00CD0622" w:rsidRPr="008744F9" w:rsidRDefault="00CD0622" w:rsidP="00CD0622">
      <w:pPr>
        <w:suppressAutoHyphens/>
        <w:rPr>
          <w:rFonts w:ascii="Arial" w:hAnsi="Arial"/>
          <w:i/>
          <w:sz w:val="22"/>
        </w:rPr>
      </w:pPr>
    </w:p>
    <w:p w:rsidR="00CD0622" w:rsidRDefault="00CD0622" w:rsidP="00CD0622">
      <w:pPr>
        <w:suppressAutoHyphens/>
        <w:rPr>
          <w:rFonts w:ascii="Arial" w:hAnsi="Arial"/>
          <w:i/>
          <w:sz w:val="22"/>
        </w:rPr>
      </w:pPr>
      <w:r w:rsidRPr="008744F9">
        <w:rPr>
          <w:rFonts w:ascii="Arial" w:hAnsi="Arial"/>
          <w:b/>
          <w:i/>
          <w:sz w:val="22"/>
        </w:rPr>
        <w:t xml:space="preserve">N.B.: </w:t>
      </w:r>
      <w:r w:rsidRPr="008744F9">
        <w:rPr>
          <w:rFonts w:ascii="Arial" w:hAnsi="Arial"/>
          <w:i/>
          <w:sz w:val="22"/>
        </w:rPr>
        <w:t xml:space="preserve">Si, selon le certificat de prêt, le partage de risque doit se faire au moyen </w:t>
      </w:r>
      <w:r w:rsidRPr="008744F9">
        <w:rPr>
          <w:rFonts w:ascii="Arial" w:hAnsi="Arial"/>
          <w:b/>
          <w:i/>
          <w:sz w:val="22"/>
          <w:u w:val="single"/>
        </w:rPr>
        <w:t>d'un seul prêt</w:t>
      </w:r>
      <w:r w:rsidRPr="008744F9">
        <w:rPr>
          <w:rFonts w:ascii="Arial" w:hAnsi="Arial"/>
          <w:i/>
          <w:sz w:val="22"/>
        </w:rPr>
        <w:t xml:space="preserve"> partiellement garanti par La Financière agricole, vous devez utiliser le bloc</w:t>
      </w:r>
      <w:r w:rsidRPr="008744F9">
        <w:rPr>
          <w:rFonts w:ascii="Arial" w:hAnsi="Arial"/>
          <w:b/>
          <w:i/>
          <w:sz w:val="22"/>
        </w:rPr>
        <w:t xml:space="preserve"> </w:t>
      </w:r>
      <w:r w:rsidRPr="008744F9">
        <w:rPr>
          <w:rFonts w:ascii="Arial" w:hAnsi="Arial"/>
          <w:i/>
          <w:sz w:val="28"/>
          <w:szCs w:val="28"/>
        </w:rPr>
        <w:t>"</w:t>
      </w:r>
      <w:r w:rsidRPr="008744F9">
        <w:rPr>
          <w:rFonts w:ascii="Arial" w:hAnsi="Arial"/>
          <w:b/>
          <w:i/>
          <w:sz w:val="22"/>
        </w:rPr>
        <w:t>Prêt sans partage de risques</w:t>
      </w:r>
      <w:r w:rsidRPr="008744F9">
        <w:rPr>
          <w:rFonts w:ascii="Arial" w:hAnsi="Arial"/>
          <w:i/>
          <w:sz w:val="28"/>
          <w:szCs w:val="28"/>
        </w:rPr>
        <w:t>"</w:t>
      </w:r>
      <w:r w:rsidRPr="008744F9">
        <w:rPr>
          <w:rFonts w:ascii="Arial" w:hAnsi="Arial"/>
          <w:i/>
          <w:sz w:val="22"/>
        </w:rPr>
        <w:t xml:space="preserve"> ci-dessus.</w:t>
      </w:r>
      <w:r w:rsidRPr="008744F9">
        <w:rPr>
          <w:rFonts w:ascii="Arial" w:hAnsi="Arial"/>
          <w:b/>
          <w:i/>
          <w:sz w:val="22"/>
        </w:rPr>
        <w:fldChar w:fldCharType="end"/>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sidRPr="005B3847">
        <w:rPr>
          <w:rFonts w:ascii="Arial" w:hAnsi="Arial"/>
          <w:b/>
          <w:sz w:val="22"/>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ci-après appelé le "prêt":</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 prêt consenti en vertu de la Loi sur La Financière agricole du Québec (L.R.Q., chapitre L</w:t>
      </w:r>
      <w:r>
        <w:rPr>
          <w:rFonts w:ascii="Arial" w:hAnsi="Arial"/>
          <w:sz w:val="22"/>
        </w:rPr>
        <w:noBreakHyphen/>
        <w:t xml:space="preserve">0.1), ci-après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 xml:space="preserve">- prêt consenti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sidRPr="005B3847">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sidRPr="005B3847">
        <w:rPr>
          <w:rFonts w:ascii="Arial" w:hAnsi="Arial"/>
          <w:b/>
          <w:sz w:val="22"/>
        </w:rPr>
        <w:t>c)</w:t>
      </w:r>
      <w:r>
        <w:rPr>
          <w:rFonts w:ascii="Arial" w:hAnsi="Arial"/>
          <w:sz w:val="22"/>
        </w:rPr>
        <w:t xml:space="preserve"> Pour garantir le remboursement du prêt, le débiteur offre au créancier de lui consentir les garanties suivantes.</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360"/>
        <w:rPr>
          <w:rFonts w:ascii="Arial" w:hAnsi="Arial"/>
          <w:b/>
          <w:sz w:val="22"/>
        </w:rPr>
      </w:pPr>
      <w:r>
        <w:rPr>
          <w:rFonts w:ascii="Arial" w:hAnsi="Arial"/>
          <w:sz w:val="22"/>
        </w:rPr>
        <w:t xml:space="preserve">2-  </w:t>
      </w:r>
      <w:r>
        <w:rPr>
          <w:rFonts w:ascii="Arial" w:hAnsi="Arial"/>
          <w:b/>
          <w:sz w:val="22"/>
        </w:rPr>
        <w:t>GARANTIES</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rsidR="00F0405D" w:rsidRDefault="00F0405D">
      <w:pPr>
        <w:suppressAutoHyphens/>
        <w:rPr>
          <w:rFonts w:ascii="Arial" w:hAnsi="Arial"/>
          <w:sz w:val="22"/>
        </w:rPr>
      </w:pPr>
    </w:p>
    <w:p w:rsidR="00F0405D" w:rsidRDefault="00F0405D">
      <w:pPr>
        <w:suppressAutoHyphens/>
        <w:jc w:val="center"/>
        <w:rPr>
          <w:rFonts w:ascii="Arial" w:hAnsi="Arial"/>
          <w:b/>
          <w:sz w:val="22"/>
        </w:rPr>
      </w:pPr>
      <w:r>
        <w:rPr>
          <w:rFonts w:ascii="Arial" w:hAnsi="Arial"/>
          <w:b/>
          <w:sz w:val="22"/>
        </w:rPr>
        <w:t>DESCRIPTION DES CRÉANCES</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 xml:space="preserve">Les sommes à recevoir par le débiteur aux termes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à lui être versées par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p>
    <w:p w:rsidR="00F0405D" w:rsidRDefault="00F0405D">
      <w:pPr>
        <w:suppressAutoHyphens/>
        <w:jc w:val="center"/>
        <w:rPr>
          <w:rFonts w:ascii="Arial" w:hAnsi="Arial"/>
          <w:b/>
          <w:sz w:val="22"/>
        </w:rPr>
      </w:pPr>
      <w:r>
        <w:rPr>
          <w:rFonts w:ascii="Arial" w:hAnsi="Arial"/>
          <w:b/>
          <w:sz w:val="22"/>
        </w:rPr>
        <w:t>HYPOTHÈQUE EN CAS D’INDIVISION</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jc w:val="center"/>
        <w:rPr>
          <w:rFonts w:ascii="Arial" w:hAnsi="Arial"/>
          <w:b/>
          <w:sz w:val="22"/>
        </w:rPr>
      </w:pPr>
      <w:r>
        <w:rPr>
          <w:rFonts w:ascii="Arial" w:hAnsi="Arial"/>
          <w:b/>
          <w:sz w:val="22"/>
        </w:rPr>
        <w:lastRenderedPageBreak/>
        <w:t>HYPOTHÈQUE ADDITIONNELLE</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En garantie du remboursement de toutes sommes dues au créancier aux termes du prêt, excédant le montant de l'hypothèque ci-dessus, le débiteur hypothèque spécialement les biens ci-dessus jusqu'à concurrence d'une somme additionnelle égale à vingt pour cent (20 %) du montant du prêt.</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360"/>
        <w:rPr>
          <w:rFonts w:ascii="Arial" w:hAnsi="Arial"/>
          <w:b/>
          <w:sz w:val="22"/>
        </w:rPr>
      </w:pPr>
      <w:r>
        <w:rPr>
          <w:rFonts w:ascii="Arial" w:hAnsi="Arial"/>
          <w:sz w:val="22"/>
        </w:rPr>
        <w:t xml:space="preserve">3-  </w:t>
      </w:r>
      <w:r>
        <w:rPr>
          <w:rFonts w:ascii="Arial" w:hAnsi="Arial"/>
          <w:b/>
          <w:sz w:val="22"/>
        </w:rPr>
        <w:t>ENGAGEMENTS DU DÉBITEUR</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du Québec, ci-après nommée "La Financière agricole", sur demande et à ses frais, toute renonciation, cession de rang, quittance ou mainlevée que ces derniers jugeront nécessaires pour conserver la primauté de ses droits sur les biens hypothéqués;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b) obtenir, au préalable, l'autorisation de La Financière agricole pour toute libération ou mainlevée, avec ou sans considération, de la garantie ci-dessus, à être accordée subséquemment par le créancier;</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c) fournir à ses frais au créancier et à La Financière agricole tous les renseignements et documents jugés nécessaires;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d) consentir toute hypothèque additionnelle que La Financière agricole jugera nécessaire pour assurer la protection suffisante des droits du créancier;</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e) payer les frais et honoraires des présentes, les frais de publicité, s'il y a lieu, et tous les autres déboursés, incluant ceux relatifs à tout renouvellement, avis, hypothèque, renonciation, cession de rang, quittance ou mainlevée s'y rapportant, le créancier étant autorisé à retenir, à même le produit du prêt, les sommes suffisantes pour les acquitter.</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360"/>
        <w:rPr>
          <w:rFonts w:ascii="Arial" w:hAnsi="Arial"/>
          <w:b/>
          <w:sz w:val="22"/>
        </w:rPr>
      </w:pPr>
      <w:r>
        <w:rPr>
          <w:rFonts w:ascii="Arial" w:hAnsi="Arial"/>
          <w:sz w:val="22"/>
        </w:rPr>
        <w:t xml:space="preserve">4-  </w:t>
      </w:r>
      <w:r>
        <w:rPr>
          <w:rFonts w:ascii="Arial" w:hAnsi="Arial"/>
          <w:b/>
          <w:sz w:val="22"/>
        </w:rPr>
        <w:t>DÉFAUT</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Outre les cas prévus au prêt, le débiteur sera également en défaut:</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a) s'il ne se conforme pas aux obligations résultant des présentes;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b) s'il n'obtient pas la mainlevée de toute saisie opérée contre les biens hypothéqués en exécution d'un jugement;</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c) s'il n'obtient pas la mainlevée de tout préavis d'exercice d'un droit hypothécaire ou d'un autre droit inscrit contre les biens hypothéqués ou ne remédie pas à tout défaut aux termes de toute autre hypothèque ou charge affectant les biens hypothéqués;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d) s'il fait aux présentes une déclaration qui s'avère fausse ou inexacte ou s'il se révèle des inscriptions ou des droits susceptibles de modifier la situation déclarée et acceptée.</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 d'exiger le paiement immédiat de la totalité du prêt, en capital, intérêts, frais et accessoires;</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 d'exécuter toute obligation non respectée par le débiteur en lieu et place et aux frais de ce dernier;</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t>-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360"/>
        <w:rPr>
          <w:rFonts w:ascii="Arial" w:hAnsi="Arial"/>
          <w:b/>
          <w:sz w:val="22"/>
        </w:rPr>
      </w:pPr>
      <w:r>
        <w:rPr>
          <w:rFonts w:ascii="Arial" w:hAnsi="Arial"/>
          <w:sz w:val="22"/>
        </w:rPr>
        <w:t xml:space="preserve">5- </w:t>
      </w:r>
      <w:r>
        <w:rPr>
          <w:rFonts w:ascii="Arial" w:hAnsi="Arial"/>
          <w:b/>
          <w:sz w:val="22"/>
        </w:rPr>
        <w:t>FRAIS D'EMPRUNT</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545BED">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360"/>
        <w:rPr>
          <w:rFonts w:ascii="Arial" w:hAnsi="Arial"/>
          <w:b/>
          <w:sz w:val="22"/>
        </w:rPr>
      </w:pPr>
      <w:r>
        <w:rPr>
          <w:rFonts w:ascii="Arial" w:hAnsi="Arial"/>
          <w:sz w:val="22"/>
        </w:rPr>
        <w:t xml:space="preserve">6- </w:t>
      </w:r>
      <w:r>
        <w:rPr>
          <w:rFonts w:ascii="Arial" w:hAnsi="Arial"/>
          <w:b/>
          <w:sz w:val="22"/>
        </w:rPr>
        <w:t>DÉCLARATION DU DÉBITEUR</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Le débiteur déclare que les biens hypothéqués lui appartiennent en pleine propriété et qu'ils ne sont grevés d'aucune priorité, hypothèque ou charge quelconque, sauf et excepté:</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360"/>
        <w:rPr>
          <w:rFonts w:ascii="Arial" w:hAnsi="Arial"/>
          <w:b/>
          <w:sz w:val="22"/>
        </w:rPr>
      </w:pPr>
      <w:r>
        <w:rPr>
          <w:rFonts w:ascii="Arial" w:hAnsi="Arial"/>
          <w:sz w:val="22"/>
        </w:rPr>
        <w:t xml:space="preserve">7- </w:t>
      </w:r>
      <w:r>
        <w:rPr>
          <w:rFonts w:ascii="Arial" w:hAnsi="Arial"/>
          <w:b/>
          <w:sz w:val="22"/>
        </w:rPr>
        <w:t>HYPOTHÈQUE CONTINUE</w:t>
      </w:r>
    </w:p>
    <w:p w:rsidR="00F0405D" w:rsidRDefault="00F0405D">
      <w:pPr>
        <w:suppressAutoHyphens/>
        <w:ind w:firstLine="360"/>
        <w:rPr>
          <w:rFonts w:ascii="Arial" w:hAnsi="Arial"/>
          <w:b/>
          <w:sz w:val="22"/>
        </w:rPr>
      </w:pPr>
    </w:p>
    <w:p w:rsidR="00F0405D" w:rsidRDefault="00F0405D">
      <w:pPr>
        <w:suppressAutoHyphens/>
        <w:ind w:firstLine="1152"/>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rsidR="00F0405D" w:rsidRDefault="00F0405D">
      <w:pPr>
        <w:suppressAutoHyphens/>
        <w:ind w:firstLine="1152"/>
        <w:rPr>
          <w:rFonts w:ascii="Arial" w:hAnsi="Arial"/>
          <w:sz w:val="22"/>
        </w:rPr>
      </w:pPr>
    </w:p>
    <w:p w:rsidR="00F0405D" w:rsidRDefault="00F0405D">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rsidR="00F0405D" w:rsidRDefault="00F0405D">
      <w:pPr>
        <w:suppressAutoHyphens/>
        <w:rPr>
          <w:rFonts w:ascii="Arial" w:hAnsi="Arial"/>
          <w:sz w:val="22"/>
        </w:rPr>
      </w:pPr>
    </w:p>
    <w:p w:rsidR="00F0405D" w:rsidRDefault="00F0405D">
      <w:pPr>
        <w:suppressAutoHyphens/>
        <w:rPr>
          <w:rFonts w:ascii="Arial" w:hAnsi="Arial"/>
          <w:sz w:val="22"/>
        </w:rPr>
      </w:pPr>
    </w:p>
    <w:p w:rsidR="00F0405D" w:rsidRDefault="00F0405D">
      <w:pPr>
        <w:suppressAutoHyphens/>
        <w:ind w:firstLine="360"/>
        <w:rPr>
          <w:rFonts w:ascii="Arial" w:hAnsi="Arial"/>
          <w:b/>
          <w:sz w:val="22"/>
        </w:rPr>
      </w:pPr>
      <w:r>
        <w:rPr>
          <w:rFonts w:ascii="Arial" w:hAnsi="Arial"/>
          <w:sz w:val="22"/>
        </w:rPr>
        <w:t xml:space="preserve">8- </w:t>
      </w:r>
      <w:r>
        <w:rPr>
          <w:rFonts w:ascii="Arial" w:hAnsi="Arial"/>
          <w:b/>
          <w:sz w:val="22"/>
        </w:rPr>
        <w:t>ÉLECTION DE DOMICILE</w:t>
      </w:r>
    </w:p>
    <w:p w:rsidR="00F0405D" w:rsidRDefault="00F0405D">
      <w:pPr>
        <w:suppressAutoHyphens/>
        <w:rPr>
          <w:rFonts w:ascii="Arial" w:hAnsi="Arial"/>
          <w:sz w:val="22"/>
        </w:rPr>
      </w:pPr>
    </w:p>
    <w:p w:rsidR="00F0405D" w:rsidRDefault="00F0405D">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p>
    <w:p w:rsidR="00F0405D" w:rsidRDefault="00F0405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F0405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2AC" w:rsidRDefault="004942AC" w:rsidP="00F0405D">
      <w:r>
        <w:separator/>
      </w:r>
    </w:p>
  </w:endnote>
  <w:endnote w:type="continuationSeparator" w:id="0">
    <w:p w:rsidR="004942AC" w:rsidRDefault="004942AC" w:rsidP="00F0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5D" w:rsidRDefault="00F0405D">
    <w:pPr>
      <w:pStyle w:val="Pieddepage"/>
    </w:pPr>
    <w:r>
      <w:rPr>
        <w:noProof/>
      </w:rPr>
      <w:pict>
        <v:rect id="_x0000_s1025" style="position:absolute;left:0;text-align:left;margin-left:-2in;margin-top:6.95pt;width:72.05pt;height:14.4pt;z-index:251657216" o:allowincell="f" filled="f" stroked="f" strokeweight="0">
          <v:textbox inset="0,0,0,0">
            <w:txbxContent>
              <w:p w:rsidR="00F0405D" w:rsidRDefault="005F029A">
                <w:pPr>
                  <w:rPr>
                    <w:rFonts w:ascii="Arial" w:hAnsi="Arial"/>
                    <w:sz w:val="16"/>
                  </w:rPr>
                </w:pPr>
                <w:r>
                  <w:rPr>
                    <w:rFonts w:ascii="Arial" w:hAnsi="Arial"/>
                    <w:sz w:val="16"/>
                  </w:rPr>
                  <w:t>3051.9.13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5D" w:rsidRDefault="00F0405D">
    <w:pPr>
      <w:pStyle w:val="Pieddepage"/>
    </w:pPr>
    <w:r>
      <w:rPr>
        <w:noProof/>
      </w:rPr>
      <w:pict>
        <v:rect id="_x0000_s1026" style="position:absolute;left:0;text-align:left;margin-left:-2in;margin-top:6.95pt;width:72.05pt;height:14.45pt;z-index:251658240" o:allowincell="f" filled="f" stroked="f" strokeweight="0">
          <v:textbox inset="0,0,0,0">
            <w:txbxContent>
              <w:p w:rsidR="00F0405D" w:rsidRDefault="005F029A">
                <w:pPr>
                  <w:rPr>
                    <w:rFonts w:ascii="Arial" w:hAnsi="Arial"/>
                    <w:sz w:val="16"/>
                  </w:rPr>
                </w:pPr>
                <w:r>
                  <w:rPr>
                    <w:rFonts w:ascii="Arial" w:hAnsi="Arial"/>
                    <w:sz w:val="16"/>
                  </w:rPr>
                  <w:t>3051.9.13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2AC" w:rsidRDefault="004942AC" w:rsidP="00F0405D">
      <w:r>
        <w:separator/>
      </w:r>
    </w:p>
  </w:footnote>
  <w:footnote w:type="continuationSeparator" w:id="0">
    <w:p w:rsidR="004942AC" w:rsidRDefault="004942AC" w:rsidP="00F04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5D" w:rsidRDefault="00F0405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A65ED">
      <w:rPr>
        <w:rStyle w:val="Numrodepage"/>
        <w:rFonts w:ascii="Arial" w:hAnsi="Arial"/>
        <w:noProof/>
        <w:sz w:val="22"/>
      </w:rPr>
      <w:t>2</w:t>
    </w:r>
    <w:r>
      <w:rPr>
        <w:rStyle w:val="Numrodepage"/>
        <w:rFonts w:ascii="Arial" w:hAnsi="Arial"/>
        <w:sz w:val="22"/>
      </w:rPr>
      <w:fldChar w:fldCharType="end"/>
    </w:r>
  </w:p>
  <w:p w:rsidR="00F0405D" w:rsidRDefault="00F0405D">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F8AD77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019"/>
    <w:rsid w:val="001F1495"/>
    <w:rsid w:val="002D5484"/>
    <w:rsid w:val="00371934"/>
    <w:rsid w:val="004942AC"/>
    <w:rsid w:val="004C5D76"/>
    <w:rsid w:val="00545BED"/>
    <w:rsid w:val="005B3847"/>
    <w:rsid w:val="005F029A"/>
    <w:rsid w:val="00680019"/>
    <w:rsid w:val="006A65ED"/>
    <w:rsid w:val="008744F9"/>
    <w:rsid w:val="00B9085C"/>
    <w:rsid w:val="00CD0622"/>
    <w:rsid w:val="00F040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D5D63E9-049F-4AAD-BA7C-CF07E546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8328</Characters>
  <Application>Microsoft Office Word</Application>
  <DocSecurity>4</DocSecurity>
  <Lines>69</Lines>
  <Paragraphs>19</Paragraphs>
  <ScaleCrop>false</ScaleCrop>
  <HeadingPairs>
    <vt:vector size="4" baseType="variant">
      <vt:variant>
        <vt:lpstr>Titre</vt:lpstr>
      </vt:variant>
      <vt:variant>
        <vt:i4>1</vt:i4>
      </vt:variant>
      <vt:variant>
        <vt:lpstr>Garantie sous seing privé autres sommes</vt:lpstr>
      </vt:variant>
      <vt:variant>
        <vt:i4>0</vt:i4>
      </vt:variant>
    </vt:vector>
  </HeadingPairs>
  <TitlesOfParts>
    <vt:vector size="1" baseType="lpstr">
      <vt:lpstr>Garantie sous seing privé autres sommes</vt:lpstr>
    </vt:vector>
  </TitlesOfParts>
  <Company>FADQ</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sous seing privé autres sommes</dc:title>
  <dc:subject/>
  <dc:creator>Direction des affaires juridiques</dc:creator>
  <cp:keywords/>
  <dc:description/>
  <cp:lastModifiedBy>Arsenault, Francis</cp:lastModifiedBy>
  <cp:revision>2</cp:revision>
  <cp:lastPrinted>2004-04-21T17:58:00Z</cp:lastPrinted>
  <dcterms:created xsi:type="dcterms:W3CDTF">2018-10-02T13:50:00Z</dcterms:created>
  <dcterms:modified xsi:type="dcterms:W3CDTF">2018-10-02T13:50:00Z</dcterms:modified>
</cp:coreProperties>
</file>